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1285A" w14:textId="555825E7" w:rsidR="002244CE" w:rsidRDefault="002244CE">
      <w:pPr>
        <w:rPr>
          <w:color w:val="FF0000"/>
          <w:sz w:val="40"/>
          <w:szCs w:val="40"/>
        </w:rPr>
      </w:pPr>
      <w:r>
        <w:rPr>
          <w:noProof/>
          <w:lang w:eastAsia="fr-FR"/>
        </w:rPr>
        <mc:AlternateContent>
          <mc:Choice Requires="wps">
            <w:drawing>
              <wp:anchor distT="0" distB="0" distL="114300" distR="114300" simplePos="0" relativeHeight="251659264" behindDoc="0" locked="0" layoutInCell="1" allowOverlap="1" wp14:anchorId="63515CA8" wp14:editId="31B2FD83">
                <wp:simplePos x="0" y="0"/>
                <wp:positionH relativeFrom="column">
                  <wp:posOffset>2717165</wp:posOffset>
                </wp:positionH>
                <wp:positionV relativeFrom="paragraph">
                  <wp:posOffset>426084</wp:posOffset>
                </wp:positionV>
                <wp:extent cx="3467100" cy="1552575"/>
                <wp:effectExtent l="0" t="0" r="19050" b="28575"/>
                <wp:wrapNone/>
                <wp:docPr id="2" name="Zone de texte 2"/>
                <wp:cNvGraphicFramePr/>
                <a:graphic xmlns:a="http://schemas.openxmlformats.org/drawingml/2006/main">
                  <a:graphicData uri="http://schemas.microsoft.com/office/word/2010/wordprocessingShape">
                    <wps:wsp>
                      <wps:cNvSpPr txBox="1"/>
                      <wps:spPr>
                        <a:xfrm>
                          <a:off x="0" y="0"/>
                          <a:ext cx="3467100" cy="1552575"/>
                        </a:xfrm>
                        <a:prstGeom prst="rect">
                          <a:avLst/>
                        </a:prstGeom>
                        <a:solidFill>
                          <a:schemeClr val="lt1"/>
                        </a:solidFill>
                        <a:ln w="6350">
                          <a:solidFill>
                            <a:schemeClr val="bg1"/>
                          </a:solidFill>
                        </a:ln>
                      </wps:spPr>
                      <wps:txbx>
                        <w:txbxContent>
                          <w:p w14:paraId="6A249855" w14:textId="77777777" w:rsidR="00DE608A" w:rsidRPr="00895B8A" w:rsidRDefault="00343272" w:rsidP="00DE608A">
                            <w:pPr>
                              <w:spacing w:after="0"/>
                              <w:rPr>
                                <w:b/>
                                <w:bCs/>
                                <w:sz w:val="28"/>
                                <w:szCs w:val="28"/>
                              </w:rPr>
                            </w:pPr>
                            <w:r w:rsidRPr="00895B8A">
                              <w:rPr>
                                <w:b/>
                                <w:bCs/>
                                <w:sz w:val="28"/>
                                <w:szCs w:val="28"/>
                              </w:rPr>
                              <w:t>INFORMATION FEDERALE</w:t>
                            </w:r>
                            <w:r w:rsidR="00DE608A" w:rsidRPr="00895B8A">
                              <w:rPr>
                                <w:b/>
                                <w:bCs/>
                                <w:sz w:val="28"/>
                                <w:szCs w:val="28"/>
                              </w:rPr>
                              <w:t xml:space="preserve"> </w:t>
                            </w:r>
                          </w:p>
                          <w:p w14:paraId="4FD76411" w14:textId="6542F3F5" w:rsidR="002244CE" w:rsidRPr="00895B8A" w:rsidRDefault="00DE608A" w:rsidP="00DE608A">
                            <w:pPr>
                              <w:spacing w:after="0"/>
                              <w:rPr>
                                <w:b/>
                                <w:bCs/>
                                <w:sz w:val="28"/>
                                <w:szCs w:val="28"/>
                              </w:rPr>
                            </w:pPr>
                            <w:r w:rsidRPr="00895B8A">
                              <w:rPr>
                                <w:b/>
                                <w:bCs/>
                                <w:sz w:val="28"/>
                                <w:szCs w:val="28"/>
                              </w:rPr>
                              <w:t>DECRET CHOMA</w:t>
                            </w:r>
                            <w:r w:rsidR="007B76D3" w:rsidRPr="00895B8A">
                              <w:rPr>
                                <w:b/>
                                <w:bCs/>
                                <w:sz w:val="28"/>
                                <w:szCs w:val="28"/>
                              </w:rPr>
                              <w:t>GE</w:t>
                            </w:r>
                            <w:r w:rsidRPr="00895B8A">
                              <w:rPr>
                                <w:b/>
                                <w:bCs/>
                                <w:sz w:val="28"/>
                                <w:szCs w:val="28"/>
                              </w:rPr>
                              <w:t xml:space="preserve"> PARTIEL DES VRP</w:t>
                            </w:r>
                          </w:p>
                          <w:p w14:paraId="5495ED46" w14:textId="57FD76CE" w:rsidR="007B76D3" w:rsidRPr="00895B8A" w:rsidRDefault="007B76D3" w:rsidP="00DE608A">
                            <w:pPr>
                              <w:spacing w:after="0"/>
                              <w:rPr>
                                <w:b/>
                                <w:bCs/>
                                <w:color w:val="FF0000"/>
                              </w:rPr>
                            </w:pPr>
                            <w:r w:rsidRPr="00895B8A">
                              <w:rPr>
                                <w:b/>
                                <w:bCs/>
                                <w:color w:val="FF0000"/>
                              </w:rPr>
                              <w:t>Décret no 2020-435 du 16 avril 2020</w:t>
                            </w:r>
                            <w:r w:rsidRPr="00895B8A">
                              <w:rPr>
                                <w:b/>
                                <w:bCs/>
                                <w:color w:val="FF0000"/>
                                <w:sz w:val="28"/>
                                <w:szCs w:val="28"/>
                              </w:rPr>
                              <w:t xml:space="preserve"> </w:t>
                            </w:r>
                            <w:r w:rsidRPr="00895B8A">
                              <w:rPr>
                                <w:b/>
                                <w:bCs/>
                                <w:color w:val="FF0000"/>
                              </w:rPr>
                              <w:t>portant mesures d’urgence en matière d’activité partielle</w:t>
                            </w:r>
                          </w:p>
                          <w:p w14:paraId="333E118D" w14:textId="77777777" w:rsidR="00000BF7" w:rsidRDefault="00000BF7" w:rsidP="00DE608A">
                            <w:pPr>
                              <w:jc w:val="right"/>
                              <w:rPr>
                                <w:b/>
                                <w:bCs/>
                              </w:rPr>
                            </w:pPr>
                          </w:p>
                          <w:p w14:paraId="73251B49" w14:textId="3BE3F516" w:rsidR="00DE608A" w:rsidRPr="00DE608A" w:rsidRDefault="00DE608A" w:rsidP="00DE608A">
                            <w:pPr>
                              <w:jc w:val="right"/>
                              <w:rPr>
                                <w:b/>
                                <w:bCs/>
                              </w:rPr>
                            </w:pPr>
                            <w:r w:rsidRPr="00DE608A">
                              <w:rPr>
                                <w:b/>
                                <w:bCs/>
                              </w:rPr>
                              <w:t>Paris le 19/04/2020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15CA8" id="_x0000_t202" coordsize="21600,21600" o:spt="202" path="m,l,21600r21600,l21600,xe">
                <v:stroke joinstyle="miter"/>
                <v:path gradientshapeok="t" o:connecttype="rect"/>
              </v:shapetype>
              <v:shape id="Zone de texte 2" o:spid="_x0000_s1026" type="#_x0000_t202" style="position:absolute;margin-left:213.95pt;margin-top:33.55pt;width:273pt;height:1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" fillcolor="white [3201]" strokecolor="white [3212]" strokeweight=".5pt">
                <v:textbox>
                  <w:txbxContent>
                    <w:p w14:paraId="6A249855" w14:textId="77777777" w:rsidR="00DE608A" w:rsidRPr="00895B8A" w:rsidRDefault="00343272" w:rsidP="00DE608A">
                      <w:pPr>
                        <w:spacing w:after="0"/>
                        <w:rPr>
                          <w:b/>
                          <w:bCs/>
                          <w:sz w:val="28"/>
                          <w:szCs w:val="28"/>
                        </w:rPr>
                      </w:pPr>
                      <w:r w:rsidRPr="00895B8A">
                        <w:rPr>
                          <w:b/>
                          <w:bCs/>
                          <w:sz w:val="28"/>
                          <w:szCs w:val="28"/>
                        </w:rPr>
                        <w:t>INFORMATION FEDERALE</w:t>
                      </w:r>
                      <w:r w:rsidR="00DE608A" w:rsidRPr="00895B8A">
                        <w:rPr>
                          <w:b/>
                          <w:bCs/>
                          <w:sz w:val="28"/>
                          <w:szCs w:val="28"/>
                        </w:rPr>
                        <w:t xml:space="preserve"> </w:t>
                      </w:r>
                    </w:p>
                    <w:p w14:paraId="4FD76411" w14:textId="6542F3F5" w:rsidR="002244CE" w:rsidRPr="00895B8A" w:rsidRDefault="00DE608A" w:rsidP="00DE608A">
                      <w:pPr>
                        <w:spacing w:after="0"/>
                        <w:rPr>
                          <w:b/>
                          <w:bCs/>
                          <w:sz w:val="28"/>
                          <w:szCs w:val="28"/>
                        </w:rPr>
                      </w:pPr>
                      <w:r w:rsidRPr="00895B8A">
                        <w:rPr>
                          <w:b/>
                          <w:bCs/>
                          <w:sz w:val="28"/>
                          <w:szCs w:val="28"/>
                        </w:rPr>
                        <w:t>DECRET CHOMA</w:t>
                      </w:r>
                      <w:r w:rsidR="007B76D3" w:rsidRPr="00895B8A">
                        <w:rPr>
                          <w:b/>
                          <w:bCs/>
                          <w:sz w:val="28"/>
                          <w:szCs w:val="28"/>
                        </w:rPr>
                        <w:t>GE</w:t>
                      </w:r>
                      <w:r w:rsidRPr="00895B8A">
                        <w:rPr>
                          <w:b/>
                          <w:bCs/>
                          <w:sz w:val="28"/>
                          <w:szCs w:val="28"/>
                        </w:rPr>
                        <w:t xml:space="preserve"> PARTIEL DES VRP</w:t>
                      </w:r>
                    </w:p>
                    <w:p w14:paraId="5495ED46" w14:textId="57FD76CE" w:rsidR="007B76D3" w:rsidRPr="00895B8A" w:rsidRDefault="007B76D3" w:rsidP="00DE608A">
                      <w:pPr>
                        <w:spacing w:after="0"/>
                        <w:rPr>
                          <w:b/>
                          <w:bCs/>
                          <w:color w:val="FF0000"/>
                        </w:rPr>
                      </w:pPr>
                      <w:r w:rsidRPr="00895B8A">
                        <w:rPr>
                          <w:b/>
                          <w:bCs/>
                          <w:color w:val="FF0000"/>
                        </w:rPr>
                        <w:t>Décret no 2020-435 du 16 avril 2020</w:t>
                      </w:r>
                      <w:r w:rsidRPr="00895B8A">
                        <w:rPr>
                          <w:b/>
                          <w:bCs/>
                          <w:color w:val="FF0000"/>
                          <w:sz w:val="28"/>
                          <w:szCs w:val="28"/>
                        </w:rPr>
                        <w:t xml:space="preserve"> </w:t>
                      </w:r>
                      <w:r w:rsidRPr="00895B8A">
                        <w:rPr>
                          <w:b/>
                          <w:bCs/>
                          <w:color w:val="FF0000"/>
                        </w:rPr>
                        <w:t>portant mesures d’urgence en matière d’activité partielle</w:t>
                      </w:r>
                    </w:p>
                    <w:p w14:paraId="333E118D" w14:textId="77777777" w:rsidR="00000BF7" w:rsidRDefault="00000BF7" w:rsidP="00DE608A">
                      <w:pPr>
                        <w:jc w:val="right"/>
                        <w:rPr>
                          <w:b/>
                          <w:bCs/>
                        </w:rPr>
                      </w:pPr>
                    </w:p>
                    <w:p w14:paraId="73251B49" w14:textId="3BE3F516" w:rsidR="00DE608A" w:rsidRPr="00DE608A" w:rsidRDefault="00DE608A" w:rsidP="00DE608A">
                      <w:pPr>
                        <w:jc w:val="right"/>
                        <w:rPr>
                          <w:b/>
                          <w:bCs/>
                        </w:rPr>
                      </w:pPr>
                      <w:r w:rsidRPr="00DE608A">
                        <w:rPr>
                          <w:b/>
                          <w:bCs/>
                        </w:rPr>
                        <w:t>Paris le 19/04/2020</w:t>
                      </w:r>
                    </w:p>
                  </w:txbxContent>
                </v:textbox>
              </v:shape>
            </w:pict>
          </mc:Fallback>
        </mc:AlternateContent>
      </w:r>
      <w:r w:rsidRPr="002244CE">
        <w:rPr>
          <w:noProof/>
          <w:lang w:eastAsia="fr-FR"/>
        </w:rPr>
        <w:drawing>
          <wp:inline distT="0" distB="0" distL="0" distR="0" wp14:anchorId="4D64BE89" wp14:editId="2CEE7014">
            <wp:extent cx="1029462" cy="1276193"/>
            <wp:effectExtent l="0" t="0" r="0" b="635"/>
            <wp:docPr id="1" name="Image 1" descr="Une image contenant alimentation,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1-242x300.jpg"/>
                    <pic:cNvPicPr/>
                  </pic:nvPicPr>
                  <pic:blipFill>
                    <a:blip r:embed="rId8">
                      <a:extLst>
                        <a:ext uri="{28A0092B-C50C-407E-A947-70E740481C1C}">
                          <a14:useLocalDpi xmlns:a14="http://schemas.microsoft.com/office/drawing/2010/main" val="0"/>
                        </a:ext>
                      </a:extLst>
                    </a:blip>
                    <a:stretch>
                      <a:fillRect/>
                    </a:stretch>
                  </pic:blipFill>
                  <pic:spPr>
                    <a:xfrm>
                      <a:off x="0" y="0"/>
                      <a:ext cx="1046442" cy="1297243"/>
                    </a:xfrm>
                    <a:prstGeom prst="rect">
                      <a:avLst/>
                    </a:prstGeom>
                  </pic:spPr>
                </pic:pic>
              </a:graphicData>
            </a:graphic>
          </wp:inline>
        </w:drawing>
      </w:r>
      <w:r w:rsidRPr="002244CE">
        <w:t xml:space="preserve">                                    </w:t>
      </w:r>
    </w:p>
    <w:p w14:paraId="67F5C6DB" w14:textId="49B892A1" w:rsidR="002244CE" w:rsidRPr="001018FB" w:rsidRDefault="002244CE">
      <w:pPr>
        <w:rPr>
          <w:color w:val="FF0000"/>
        </w:rPr>
      </w:pPr>
    </w:p>
    <w:p w14:paraId="5ADAA84F" w14:textId="6843E925" w:rsidR="002244CE" w:rsidRPr="001018FB" w:rsidRDefault="002244CE" w:rsidP="00343272">
      <w:pPr>
        <w:spacing w:after="0"/>
        <w:rPr>
          <w:b/>
          <w:bCs/>
          <w:color w:val="FF0000"/>
          <w:sz w:val="32"/>
          <w:szCs w:val="32"/>
        </w:rPr>
      </w:pPr>
    </w:p>
    <w:p w14:paraId="6C64F434" w14:textId="55FC2A68" w:rsidR="00000BF7" w:rsidRDefault="00000BF7" w:rsidP="00343272">
      <w:pPr>
        <w:spacing w:after="0"/>
        <w:jc w:val="both"/>
        <w:rPr>
          <w:sz w:val="28"/>
          <w:szCs w:val="28"/>
        </w:rPr>
      </w:pPr>
    </w:p>
    <w:p w14:paraId="4019D22A" w14:textId="7BE1E02A" w:rsidR="00000BF7" w:rsidRDefault="00000BF7" w:rsidP="00343272">
      <w:pPr>
        <w:spacing w:after="0"/>
        <w:jc w:val="both"/>
        <w:rPr>
          <w:b/>
          <w:bCs/>
          <w:color w:val="FF0000"/>
          <w:sz w:val="28"/>
          <w:szCs w:val="28"/>
        </w:rPr>
      </w:pPr>
    </w:p>
    <w:p w14:paraId="05AAABD2" w14:textId="1B6D143A" w:rsidR="00000BF7" w:rsidRDefault="00000BF7" w:rsidP="00343272">
      <w:pPr>
        <w:spacing w:after="0"/>
        <w:jc w:val="both"/>
        <w:rPr>
          <w:b/>
          <w:bCs/>
          <w:color w:val="FF0000"/>
          <w:sz w:val="28"/>
          <w:szCs w:val="28"/>
        </w:rPr>
      </w:pPr>
    </w:p>
    <w:p w14:paraId="5A65A8AB" w14:textId="2F18E0A1" w:rsidR="00000BF7" w:rsidRPr="00000BF7" w:rsidRDefault="00000BF7" w:rsidP="00343272">
      <w:pPr>
        <w:spacing w:after="0"/>
        <w:jc w:val="both"/>
        <w:rPr>
          <w:b/>
          <w:bCs/>
          <w:color w:val="FF0000"/>
          <w:sz w:val="28"/>
          <w:szCs w:val="28"/>
        </w:rPr>
      </w:pPr>
      <w:bookmarkStart w:id="0" w:name="_Hlk38187646"/>
      <w:r w:rsidRPr="00000BF7">
        <w:rPr>
          <w:b/>
          <w:bCs/>
          <w:color w:val="FF0000"/>
          <w:sz w:val="28"/>
          <w:szCs w:val="28"/>
        </w:rPr>
        <w:t>INTRODUCTION</w:t>
      </w:r>
    </w:p>
    <w:bookmarkEnd w:id="0"/>
    <w:p w14:paraId="6C135EA5" w14:textId="0D3422EC" w:rsidR="00902337" w:rsidRDefault="00902337" w:rsidP="00343272">
      <w:pPr>
        <w:spacing w:after="0"/>
        <w:jc w:val="both"/>
        <w:rPr>
          <w:sz w:val="28"/>
          <w:szCs w:val="28"/>
        </w:rPr>
      </w:pPr>
      <w:r w:rsidRPr="001018FB">
        <w:rPr>
          <w:sz w:val="28"/>
          <w:szCs w:val="28"/>
        </w:rPr>
        <w:t xml:space="preserve">Comme nous l’avons déjà écrit, le Code du Travail n’exclut pas les VRP du dispositif du chômage partiel, mais </w:t>
      </w:r>
      <w:r w:rsidR="00DE608A">
        <w:rPr>
          <w:sz w:val="28"/>
          <w:szCs w:val="28"/>
        </w:rPr>
        <w:t>la</w:t>
      </w:r>
      <w:r w:rsidRPr="001018FB">
        <w:rPr>
          <w:sz w:val="28"/>
          <w:szCs w:val="28"/>
        </w:rPr>
        <w:t xml:space="preserve"> circulaire du 12 juillet 2013 n°2013-12</w:t>
      </w:r>
      <w:r w:rsidR="00DE608A">
        <w:rPr>
          <w:sz w:val="28"/>
          <w:szCs w:val="28"/>
        </w:rPr>
        <w:t xml:space="preserve"> en avait exclus </w:t>
      </w:r>
      <w:r w:rsidR="00DE608A" w:rsidRPr="00DE608A">
        <w:rPr>
          <w:sz w:val="28"/>
          <w:szCs w:val="28"/>
        </w:rPr>
        <w:t>les VRP m</w:t>
      </w:r>
      <w:r w:rsidR="00DE608A">
        <w:rPr>
          <w:sz w:val="28"/>
          <w:szCs w:val="28"/>
        </w:rPr>
        <w:t>ulticarte.</w:t>
      </w:r>
    </w:p>
    <w:p w14:paraId="4AE9447D" w14:textId="3B0B91AB" w:rsidR="00DE608A" w:rsidRPr="00000BF7" w:rsidRDefault="00DE608A" w:rsidP="00343272">
      <w:pPr>
        <w:spacing w:after="0"/>
        <w:jc w:val="both"/>
        <w:rPr>
          <w:sz w:val="16"/>
          <w:szCs w:val="16"/>
        </w:rPr>
      </w:pPr>
    </w:p>
    <w:p w14:paraId="387396AD" w14:textId="71F54EDE" w:rsidR="00902337" w:rsidRDefault="00902337" w:rsidP="00343272">
      <w:pPr>
        <w:spacing w:after="0"/>
        <w:jc w:val="both"/>
        <w:rPr>
          <w:sz w:val="28"/>
          <w:szCs w:val="28"/>
        </w:rPr>
      </w:pPr>
      <w:r w:rsidRPr="00343272">
        <w:rPr>
          <w:sz w:val="28"/>
          <w:szCs w:val="28"/>
        </w:rPr>
        <w:t>Dans la publication du décret d’application de l’ordonnance n°2020-346 du 27 mars 2020 portant mesures d’urgence en matière d’activité partielle, le point 2.3 de la fiche 2 qui exclus les VRP multicarte</w:t>
      </w:r>
      <w:r w:rsidR="007927DB" w:rsidRPr="00343272">
        <w:rPr>
          <w:sz w:val="28"/>
          <w:szCs w:val="28"/>
        </w:rPr>
        <w:t>s</w:t>
      </w:r>
      <w:r w:rsidRPr="00343272">
        <w:rPr>
          <w:sz w:val="28"/>
          <w:szCs w:val="28"/>
        </w:rPr>
        <w:t xml:space="preserve"> du dispositif du chômage partiel</w:t>
      </w:r>
      <w:r w:rsidR="007927DB" w:rsidRPr="00343272">
        <w:rPr>
          <w:sz w:val="28"/>
          <w:szCs w:val="28"/>
        </w:rPr>
        <w:t xml:space="preserve"> était repris. Ce qui a conduit</w:t>
      </w:r>
      <w:r w:rsidRPr="00343272">
        <w:rPr>
          <w:sz w:val="28"/>
          <w:szCs w:val="28"/>
        </w:rPr>
        <w:t xml:space="preserve"> notre fédération à écrire de nouveau au Ministère du Travail pour demander la supp</w:t>
      </w:r>
      <w:r w:rsidR="007927DB" w:rsidRPr="00343272">
        <w:rPr>
          <w:sz w:val="28"/>
          <w:szCs w:val="28"/>
        </w:rPr>
        <w:t>ression de cette fiche ou tout a</w:t>
      </w:r>
      <w:r w:rsidRPr="00343272">
        <w:rPr>
          <w:sz w:val="28"/>
          <w:szCs w:val="28"/>
        </w:rPr>
        <w:t>u moins du point 2.3 de la fiche 2. Sans ce</w:t>
      </w:r>
      <w:r w:rsidR="00494362" w:rsidRPr="00343272">
        <w:rPr>
          <w:sz w:val="28"/>
          <w:szCs w:val="28"/>
        </w:rPr>
        <w:t>tte rectification, les VRP multicarte</w:t>
      </w:r>
      <w:r w:rsidR="007927DB" w:rsidRPr="00343272">
        <w:rPr>
          <w:sz w:val="28"/>
          <w:szCs w:val="28"/>
        </w:rPr>
        <w:t>s</w:t>
      </w:r>
      <w:r w:rsidR="00494362" w:rsidRPr="00343272">
        <w:rPr>
          <w:sz w:val="28"/>
          <w:szCs w:val="28"/>
        </w:rPr>
        <w:t xml:space="preserve"> ne peuvent bénéficier du chômage partiel. </w:t>
      </w:r>
    </w:p>
    <w:p w14:paraId="6ADF8438" w14:textId="77777777" w:rsidR="00DE608A" w:rsidRPr="00000BF7" w:rsidRDefault="00DE608A" w:rsidP="00343272">
      <w:pPr>
        <w:spacing w:after="0"/>
        <w:jc w:val="both"/>
        <w:rPr>
          <w:sz w:val="16"/>
          <w:szCs w:val="16"/>
        </w:rPr>
      </w:pPr>
    </w:p>
    <w:p w14:paraId="11933757" w14:textId="1BE05600" w:rsidR="00902337" w:rsidRPr="00343272" w:rsidRDefault="007927DB" w:rsidP="00343272">
      <w:pPr>
        <w:spacing w:after="0"/>
        <w:jc w:val="both"/>
        <w:rPr>
          <w:b/>
          <w:bCs/>
          <w:color w:val="FF0000"/>
          <w:sz w:val="28"/>
          <w:szCs w:val="28"/>
        </w:rPr>
      </w:pPr>
      <w:r w:rsidRPr="00343272">
        <w:rPr>
          <w:b/>
          <w:bCs/>
          <w:color w:val="FF0000"/>
          <w:sz w:val="28"/>
          <w:szCs w:val="28"/>
        </w:rPr>
        <w:t>C’est chose faite. L</w:t>
      </w:r>
      <w:r w:rsidR="00494362" w:rsidRPr="00343272">
        <w:rPr>
          <w:b/>
          <w:bCs/>
          <w:color w:val="FF0000"/>
          <w:sz w:val="28"/>
          <w:szCs w:val="28"/>
        </w:rPr>
        <w:t>e 13 avril 2020, le ministère du travail publie sur son site officiel : « Les dispositions de la circulaire du 12 juillet 2013 n°</w:t>
      </w:r>
      <w:r w:rsidR="00DE608A">
        <w:rPr>
          <w:b/>
          <w:bCs/>
          <w:color w:val="FF0000"/>
          <w:sz w:val="28"/>
          <w:szCs w:val="28"/>
        </w:rPr>
        <w:t xml:space="preserve"> </w:t>
      </w:r>
      <w:r w:rsidR="00494362" w:rsidRPr="00343272">
        <w:rPr>
          <w:b/>
          <w:bCs/>
          <w:color w:val="FF0000"/>
          <w:sz w:val="28"/>
          <w:szCs w:val="28"/>
        </w:rPr>
        <w:t>2013-12 demeurent applicables, à l’exception du point 2.3 de la fiche 2 »</w:t>
      </w:r>
    </w:p>
    <w:p w14:paraId="6BB7EAF6" w14:textId="00A48E5E" w:rsidR="00494362" w:rsidRDefault="00494362" w:rsidP="00343272">
      <w:pPr>
        <w:spacing w:after="0"/>
        <w:jc w:val="both"/>
        <w:rPr>
          <w:sz w:val="28"/>
          <w:szCs w:val="28"/>
        </w:rPr>
      </w:pPr>
      <w:r w:rsidRPr="00343272">
        <w:rPr>
          <w:sz w:val="28"/>
          <w:szCs w:val="28"/>
        </w:rPr>
        <w:t>Ainsi</w:t>
      </w:r>
      <w:r w:rsidR="007927DB" w:rsidRPr="00343272">
        <w:rPr>
          <w:sz w:val="28"/>
          <w:szCs w:val="28"/>
        </w:rPr>
        <w:t>,</w:t>
      </w:r>
      <w:r w:rsidRPr="00343272">
        <w:rPr>
          <w:sz w:val="28"/>
          <w:szCs w:val="28"/>
        </w:rPr>
        <w:t xml:space="preserve"> précise le texte, les salariés VRP visés au point 2.3 de la fiche 2 « les catégories de salariés concernés par l’activité partielle »</w:t>
      </w:r>
      <w:r w:rsidR="007927DB" w:rsidRPr="00343272">
        <w:rPr>
          <w:sz w:val="28"/>
          <w:szCs w:val="28"/>
        </w:rPr>
        <w:t>,</w:t>
      </w:r>
      <w:r w:rsidRPr="00343272">
        <w:rPr>
          <w:sz w:val="28"/>
          <w:szCs w:val="28"/>
        </w:rPr>
        <w:t xml:space="preserve"> </w:t>
      </w:r>
      <w:r w:rsidR="007B76D3">
        <w:rPr>
          <w:sz w:val="28"/>
          <w:szCs w:val="28"/>
        </w:rPr>
        <w:t>peuvent bénéficier du dispositif d’urgence de chômage partiel lié au Covid-19.</w:t>
      </w:r>
    </w:p>
    <w:p w14:paraId="43F66DC9" w14:textId="77777777" w:rsidR="007B76D3" w:rsidRPr="00000BF7" w:rsidRDefault="007B76D3" w:rsidP="00343272">
      <w:pPr>
        <w:spacing w:after="0"/>
        <w:jc w:val="both"/>
        <w:rPr>
          <w:sz w:val="16"/>
          <w:szCs w:val="16"/>
        </w:rPr>
      </w:pPr>
    </w:p>
    <w:p w14:paraId="1177B5FE" w14:textId="0FDB1A8E" w:rsidR="002244CE" w:rsidRDefault="00494362" w:rsidP="00000BF7">
      <w:pPr>
        <w:spacing w:after="0"/>
        <w:jc w:val="both"/>
        <w:rPr>
          <w:color w:val="FF0000"/>
          <w:sz w:val="28"/>
          <w:szCs w:val="28"/>
        </w:rPr>
      </w:pPr>
      <w:r w:rsidRPr="00343272">
        <w:rPr>
          <w:sz w:val="28"/>
          <w:szCs w:val="28"/>
        </w:rPr>
        <w:t>Autrement dit, tous les VRP</w:t>
      </w:r>
      <w:r w:rsidR="007927DB" w:rsidRPr="00343272">
        <w:rPr>
          <w:sz w:val="28"/>
          <w:szCs w:val="28"/>
        </w:rPr>
        <w:t>,</w:t>
      </w:r>
      <w:r w:rsidRPr="00343272">
        <w:rPr>
          <w:sz w:val="28"/>
          <w:szCs w:val="28"/>
        </w:rPr>
        <w:t xml:space="preserve"> qu’ils soi</w:t>
      </w:r>
      <w:r w:rsidR="007927DB" w:rsidRPr="00343272">
        <w:rPr>
          <w:sz w:val="28"/>
          <w:szCs w:val="28"/>
        </w:rPr>
        <w:t>en</w:t>
      </w:r>
      <w:r w:rsidRPr="00343272">
        <w:rPr>
          <w:sz w:val="28"/>
          <w:szCs w:val="28"/>
        </w:rPr>
        <w:t>t exclusifs ou multicarte, conformément au Code du Travail, bénéficie</w:t>
      </w:r>
      <w:r w:rsidR="007927DB" w:rsidRPr="00343272">
        <w:rPr>
          <w:sz w:val="28"/>
          <w:szCs w:val="28"/>
        </w:rPr>
        <w:t>nt</w:t>
      </w:r>
      <w:r w:rsidRPr="00343272">
        <w:rPr>
          <w:sz w:val="28"/>
          <w:szCs w:val="28"/>
        </w:rPr>
        <w:t xml:space="preserve"> du chômage partiel</w:t>
      </w:r>
      <w:r w:rsidR="007B76D3">
        <w:rPr>
          <w:sz w:val="28"/>
          <w:szCs w:val="28"/>
        </w:rPr>
        <w:t xml:space="preserve"> et </w:t>
      </w:r>
      <w:r w:rsidR="007B76D3" w:rsidRPr="007B76D3">
        <w:rPr>
          <w:color w:val="FF0000"/>
          <w:sz w:val="28"/>
          <w:szCs w:val="28"/>
        </w:rPr>
        <w:t xml:space="preserve">le </w:t>
      </w:r>
      <w:r w:rsidR="007B76D3" w:rsidRPr="007B76D3">
        <w:rPr>
          <w:color w:val="FF0000"/>
          <w:sz w:val="28"/>
          <w:szCs w:val="28"/>
        </w:rPr>
        <w:t>Décret no 2020-435 du 16 avril 2020 portant mesures d’urgence en matière d’activité partielle</w:t>
      </w:r>
      <w:r w:rsidR="007B76D3" w:rsidRPr="007B76D3">
        <w:rPr>
          <w:color w:val="FF0000"/>
          <w:sz w:val="28"/>
          <w:szCs w:val="28"/>
        </w:rPr>
        <w:t xml:space="preserve"> fixe les modalités de calcul</w:t>
      </w:r>
      <w:r w:rsidR="00000BF7">
        <w:rPr>
          <w:color w:val="FF0000"/>
          <w:sz w:val="28"/>
          <w:szCs w:val="28"/>
        </w:rPr>
        <w:t xml:space="preserve"> p</w:t>
      </w:r>
      <w:r w:rsidR="00000BF7" w:rsidRPr="00000BF7">
        <w:rPr>
          <w:color w:val="FF0000"/>
          <w:sz w:val="28"/>
          <w:szCs w:val="28"/>
        </w:rPr>
        <w:t>révu par l’ordonnance n° 2020-346 du 27 mars 2020</w:t>
      </w:r>
      <w:r w:rsidR="00000BF7">
        <w:rPr>
          <w:color w:val="FF0000"/>
          <w:sz w:val="28"/>
          <w:szCs w:val="28"/>
        </w:rPr>
        <w:t>.</w:t>
      </w:r>
    </w:p>
    <w:p w14:paraId="7B6D3637" w14:textId="7F8E5660" w:rsidR="007B76D3" w:rsidRDefault="007B76D3" w:rsidP="00343272">
      <w:pPr>
        <w:spacing w:after="0"/>
        <w:jc w:val="both"/>
        <w:rPr>
          <w:color w:val="FF0000"/>
          <w:sz w:val="16"/>
          <w:szCs w:val="16"/>
        </w:rPr>
      </w:pPr>
    </w:p>
    <w:p w14:paraId="12949ED5" w14:textId="77777777" w:rsidR="00000BF7" w:rsidRPr="00000BF7" w:rsidRDefault="00000BF7" w:rsidP="00343272">
      <w:pPr>
        <w:spacing w:after="0"/>
        <w:jc w:val="both"/>
        <w:rPr>
          <w:color w:val="FF0000"/>
          <w:sz w:val="16"/>
          <w:szCs w:val="16"/>
        </w:rPr>
      </w:pPr>
    </w:p>
    <w:p w14:paraId="6B1B9A26" w14:textId="6EA0EB8F" w:rsidR="007B76D3" w:rsidRDefault="007B76D3" w:rsidP="00343272">
      <w:pPr>
        <w:spacing w:after="0"/>
        <w:jc w:val="both"/>
        <w:rPr>
          <w:color w:val="0070C0"/>
          <w:sz w:val="28"/>
          <w:szCs w:val="28"/>
        </w:rPr>
      </w:pPr>
      <w:r>
        <w:rPr>
          <w:color w:val="0070C0"/>
          <w:sz w:val="28"/>
          <w:szCs w:val="28"/>
        </w:rPr>
        <w:t>L</w:t>
      </w:r>
      <w:r w:rsidRPr="007B76D3">
        <w:rPr>
          <w:color w:val="0070C0"/>
          <w:sz w:val="28"/>
          <w:szCs w:val="28"/>
        </w:rPr>
        <w:t>e décret précise les modalités de calcul de l’indemnité et de l’allocation d’activité partielle au titre des salariés dont la durée du travail est décomptée en jours, en fixant les règles de conversion des jours ou demi-journées de travail en heures et pour ceux qui ne sont pas soumis aux dispositions légales ou conventionnelles relatives à la durée du travail. Sont ainsi précisées les règles applicables aux voyageurs représentants placiers.</w:t>
      </w:r>
    </w:p>
    <w:p w14:paraId="58127A5B" w14:textId="77777777" w:rsidR="00000BF7" w:rsidRDefault="00000BF7" w:rsidP="00343272">
      <w:pPr>
        <w:spacing w:after="0"/>
        <w:jc w:val="both"/>
        <w:rPr>
          <w:color w:val="0070C0"/>
          <w:sz w:val="28"/>
          <w:szCs w:val="28"/>
        </w:rPr>
      </w:pPr>
    </w:p>
    <w:p w14:paraId="2E79AFEE" w14:textId="32D31A38" w:rsidR="007B76D3" w:rsidRDefault="007B76D3" w:rsidP="00343272">
      <w:pPr>
        <w:spacing w:after="0"/>
        <w:jc w:val="both"/>
        <w:rPr>
          <w:color w:val="0070C0"/>
          <w:sz w:val="28"/>
          <w:szCs w:val="28"/>
        </w:rPr>
      </w:pPr>
    </w:p>
    <w:p w14:paraId="3F589F1C" w14:textId="00C0A542" w:rsidR="00000BF7" w:rsidRDefault="00000BF7" w:rsidP="00000BF7">
      <w:pPr>
        <w:spacing w:after="0"/>
        <w:jc w:val="both"/>
        <w:rPr>
          <w:b/>
          <w:bCs/>
          <w:color w:val="FF0000"/>
          <w:sz w:val="28"/>
          <w:szCs w:val="28"/>
        </w:rPr>
      </w:pPr>
      <w:r w:rsidRPr="00000BF7">
        <w:rPr>
          <w:b/>
          <w:bCs/>
          <w:color w:val="FF0000"/>
          <w:sz w:val="28"/>
          <w:szCs w:val="28"/>
        </w:rPr>
        <w:t>Étape 1 : Déterminer le nombre d’heures indemnisables</w:t>
      </w:r>
    </w:p>
    <w:p w14:paraId="79907E09" w14:textId="77777777" w:rsidR="003F5C4E" w:rsidRPr="003F5C4E" w:rsidRDefault="003F5C4E" w:rsidP="00000BF7">
      <w:pPr>
        <w:spacing w:after="0"/>
        <w:jc w:val="both"/>
        <w:rPr>
          <w:b/>
          <w:bCs/>
          <w:color w:val="FF0000"/>
          <w:sz w:val="16"/>
          <w:szCs w:val="16"/>
        </w:rPr>
      </w:pPr>
    </w:p>
    <w:p w14:paraId="1E4D7F0F" w14:textId="4CE0CB79" w:rsidR="00000BF7" w:rsidRDefault="00000BF7" w:rsidP="00000BF7">
      <w:pPr>
        <w:spacing w:after="0"/>
        <w:jc w:val="both"/>
        <w:rPr>
          <w:sz w:val="28"/>
          <w:szCs w:val="28"/>
        </w:rPr>
      </w:pPr>
      <w:r w:rsidRPr="00000BF7">
        <w:rPr>
          <w:sz w:val="28"/>
          <w:szCs w:val="28"/>
        </w:rPr>
        <w:t>Seules les heures chômées peuvent donner lieu à une indemnisation. Les VRP n’étant</w:t>
      </w:r>
      <w:r>
        <w:rPr>
          <w:sz w:val="28"/>
          <w:szCs w:val="28"/>
        </w:rPr>
        <w:t xml:space="preserve"> </w:t>
      </w:r>
      <w:r w:rsidRPr="00000BF7">
        <w:rPr>
          <w:sz w:val="28"/>
          <w:szCs w:val="28"/>
        </w:rPr>
        <w:t xml:space="preserve">pas soumis à la réglementation du temps de travail, </w:t>
      </w:r>
      <w:r w:rsidRPr="00000BF7">
        <w:rPr>
          <w:b/>
          <w:bCs/>
          <w:sz w:val="28"/>
          <w:szCs w:val="28"/>
        </w:rPr>
        <w:t>c’est la perte de rémunération qui sert de</w:t>
      </w:r>
      <w:r w:rsidRPr="00000BF7">
        <w:rPr>
          <w:b/>
          <w:bCs/>
          <w:sz w:val="28"/>
          <w:szCs w:val="28"/>
        </w:rPr>
        <w:t xml:space="preserve"> </w:t>
      </w:r>
      <w:r w:rsidRPr="00000BF7">
        <w:rPr>
          <w:b/>
          <w:bCs/>
          <w:sz w:val="28"/>
          <w:szCs w:val="28"/>
        </w:rPr>
        <w:t>base.</w:t>
      </w:r>
      <w:r w:rsidRPr="00000BF7">
        <w:rPr>
          <w:sz w:val="28"/>
          <w:szCs w:val="28"/>
        </w:rPr>
        <w:t xml:space="preserve"> </w:t>
      </w:r>
      <w:r>
        <w:rPr>
          <w:sz w:val="28"/>
          <w:szCs w:val="28"/>
        </w:rPr>
        <w:t xml:space="preserve"> </w:t>
      </w:r>
      <w:r w:rsidRPr="00000BF7">
        <w:rPr>
          <w:sz w:val="28"/>
          <w:szCs w:val="28"/>
        </w:rPr>
        <w:t>Cette diminution de revenu est transcrite par un système d’équivalence en heures de travail.</w:t>
      </w:r>
      <w:r>
        <w:rPr>
          <w:sz w:val="28"/>
          <w:szCs w:val="28"/>
        </w:rPr>
        <w:t xml:space="preserve"> </w:t>
      </w:r>
      <w:r w:rsidRPr="00000BF7">
        <w:rPr>
          <w:sz w:val="28"/>
          <w:szCs w:val="28"/>
        </w:rPr>
        <w:t>Ainsi, la période non travaillée indemnisable correspond à la différence de la rémunération des</w:t>
      </w:r>
      <w:r>
        <w:rPr>
          <w:sz w:val="28"/>
          <w:szCs w:val="28"/>
        </w:rPr>
        <w:t xml:space="preserve"> </w:t>
      </w:r>
      <w:r w:rsidRPr="00000BF7">
        <w:rPr>
          <w:sz w:val="28"/>
          <w:szCs w:val="28"/>
        </w:rPr>
        <w:t>«</w:t>
      </w:r>
      <w:r>
        <w:rPr>
          <w:sz w:val="28"/>
          <w:szCs w:val="28"/>
        </w:rPr>
        <w:t xml:space="preserve"> </w:t>
      </w:r>
      <w:r w:rsidRPr="00000BF7">
        <w:rPr>
          <w:sz w:val="28"/>
          <w:szCs w:val="28"/>
        </w:rPr>
        <w:t>heures travaillées » sur le mois concerné avec la rémunération mensuelle de référence.</w:t>
      </w:r>
    </w:p>
    <w:p w14:paraId="66EAC210" w14:textId="77777777" w:rsidR="003F5C4E" w:rsidRDefault="003F5C4E" w:rsidP="00000BF7">
      <w:pPr>
        <w:spacing w:after="0"/>
        <w:jc w:val="both"/>
        <w:rPr>
          <w:sz w:val="28"/>
          <w:szCs w:val="28"/>
        </w:rPr>
      </w:pPr>
    </w:p>
    <w:p w14:paraId="2B435BE5" w14:textId="587851F9" w:rsidR="00000BF7" w:rsidRPr="003F5C4E" w:rsidRDefault="00000BF7" w:rsidP="00000BF7">
      <w:pPr>
        <w:spacing w:after="0"/>
        <w:jc w:val="center"/>
        <w:rPr>
          <w:b/>
          <w:bCs/>
          <w:color w:val="0070C0"/>
          <w:sz w:val="44"/>
          <w:szCs w:val="44"/>
        </w:rPr>
      </w:pPr>
      <w:r w:rsidRPr="003F5C4E">
        <w:rPr>
          <w:b/>
          <w:bCs/>
          <w:color w:val="002060"/>
          <w:sz w:val="28"/>
          <w:szCs w:val="28"/>
          <w:highlight w:val="yellow"/>
        </w:rPr>
        <w:t>Salaire versé sur le mois – salaire de référence mensuelle = salaire indemnisable</w:t>
      </w:r>
    </w:p>
    <w:p w14:paraId="21C19559" w14:textId="77777777" w:rsidR="00000BF7" w:rsidRPr="00000BF7" w:rsidRDefault="00000BF7" w:rsidP="00000BF7">
      <w:pPr>
        <w:spacing w:after="0"/>
        <w:jc w:val="center"/>
        <w:rPr>
          <w:sz w:val="28"/>
          <w:szCs w:val="28"/>
        </w:rPr>
      </w:pPr>
    </w:p>
    <w:p w14:paraId="653C254A" w14:textId="5723C93C" w:rsidR="003F5C4E" w:rsidRDefault="003F5C4E" w:rsidP="00000BF7">
      <w:pPr>
        <w:spacing w:after="0"/>
        <w:jc w:val="both"/>
        <w:rPr>
          <w:b/>
          <w:bCs/>
          <w:color w:val="FF0000"/>
          <w:sz w:val="28"/>
          <w:szCs w:val="28"/>
        </w:rPr>
      </w:pPr>
    </w:p>
    <w:p w14:paraId="12EBF271" w14:textId="77777777" w:rsidR="003F5C4E" w:rsidRDefault="003F5C4E" w:rsidP="00000BF7">
      <w:pPr>
        <w:spacing w:after="0"/>
        <w:jc w:val="both"/>
        <w:rPr>
          <w:b/>
          <w:bCs/>
          <w:color w:val="FF0000"/>
          <w:sz w:val="28"/>
          <w:szCs w:val="28"/>
        </w:rPr>
      </w:pPr>
    </w:p>
    <w:p w14:paraId="1E1017A7" w14:textId="37400DCA" w:rsidR="00000BF7" w:rsidRDefault="00000BF7" w:rsidP="00000BF7">
      <w:pPr>
        <w:spacing w:after="0"/>
        <w:jc w:val="both"/>
        <w:rPr>
          <w:b/>
          <w:bCs/>
          <w:color w:val="FF0000"/>
          <w:sz w:val="28"/>
          <w:szCs w:val="28"/>
        </w:rPr>
      </w:pPr>
      <w:r w:rsidRPr="00000BF7">
        <w:rPr>
          <w:b/>
          <w:bCs/>
          <w:color w:val="FF0000"/>
          <w:sz w:val="28"/>
          <w:szCs w:val="28"/>
        </w:rPr>
        <w:t>Étape 2 : Déterminer la rémunération mensuelle de référence et le taux horaire</w:t>
      </w:r>
    </w:p>
    <w:p w14:paraId="2F5DE0C4" w14:textId="77777777" w:rsidR="003F5C4E" w:rsidRPr="003F5C4E" w:rsidRDefault="003F5C4E" w:rsidP="00000BF7">
      <w:pPr>
        <w:spacing w:after="0"/>
        <w:jc w:val="both"/>
        <w:rPr>
          <w:b/>
          <w:bCs/>
          <w:color w:val="FF0000"/>
          <w:sz w:val="16"/>
          <w:szCs w:val="16"/>
        </w:rPr>
      </w:pPr>
    </w:p>
    <w:p w14:paraId="28DBE9AD" w14:textId="56F6C293" w:rsidR="00000BF7" w:rsidRPr="00000BF7" w:rsidRDefault="00000BF7" w:rsidP="00000BF7">
      <w:pPr>
        <w:spacing w:after="0"/>
        <w:jc w:val="both"/>
        <w:rPr>
          <w:b/>
          <w:bCs/>
          <w:sz w:val="28"/>
          <w:szCs w:val="28"/>
        </w:rPr>
      </w:pPr>
      <w:r w:rsidRPr="00000BF7">
        <w:rPr>
          <w:sz w:val="28"/>
          <w:szCs w:val="28"/>
        </w:rPr>
        <w:t>La rémunération mensuelle de référence, servant au calcul de l’indemnité et de l’allocation</w:t>
      </w:r>
      <w:r>
        <w:rPr>
          <w:sz w:val="28"/>
          <w:szCs w:val="28"/>
        </w:rPr>
        <w:t xml:space="preserve"> </w:t>
      </w:r>
      <w:r w:rsidRPr="00000BF7">
        <w:rPr>
          <w:sz w:val="28"/>
          <w:szCs w:val="28"/>
        </w:rPr>
        <w:t>d’activité partielle des VRP, correspond à la moyenne des rémunérations brutes</w:t>
      </w:r>
      <w:r>
        <w:rPr>
          <w:sz w:val="28"/>
          <w:szCs w:val="28"/>
        </w:rPr>
        <w:t xml:space="preserve"> </w:t>
      </w:r>
      <w:r w:rsidRPr="00000BF7">
        <w:rPr>
          <w:sz w:val="28"/>
          <w:szCs w:val="28"/>
        </w:rPr>
        <w:t xml:space="preserve">perçues au cours des 12 derniers mois civils </w:t>
      </w:r>
      <w:r w:rsidRPr="00000BF7">
        <w:rPr>
          <w:b/>
          <w:bCs/>
          <w:sz w:val="28"/>
          <w:szCs w:val="28"/>
        </w:rPr>
        <w:t>précédant le premier jour de placement en activité</w:t>
      </w:r>
      <w:r>
        <w:rPr>
          <w:b/>
          <w:bCs/>
          <w:sz w:val="28"/>
          <w:szCs w:val="28"/>
        </w:rPr>
        <w:t xml:space="preserve"> </w:t>
      </w:r>
      <w:r w:rsidRPr="00000BF7">
        <w:rPr>
          <w:b/>
          <w:bCs/>
          <w:sz w:val="28"/>
          <w:szCs w:val="28"/>
        </w:rPr>
        <w:t>partielle.</w:t>
      </w:r>
    </w:p>
    <w:p w14:paraId="4E7B79DC" w14:textId="0A57E5B4" w:rsidR="00000BF7" w:rsidRPr="00000BF7" w:rsidRDefault="00000BF7" w:rsidP="00000BF7">
      <w:pPr>
        <w:spacing w:after="0"/>
        <w:jc w:val="both"/>
        <w:rPr>
          <w:sz w:val="28"/>
          <w:szCs w:val="28"/>
        </w:rPr>
      </w:pPr>
      <w:r w:rsidRPr="00000BF7">
        <w:rPr>
          <w:sz w:val="28"/>
          <w:szCs w:val="28"/>
        </w:rPr>
        <w:t xml:space="preserve">Bien que le décret n’aborde pas ce point, l’URSSAF, </w:t>
      </w:r>
      <w:r w:rsidR="003F5C4E">
        <w:rPr>
          <w:sz w:val="28"/>
          <w:szCs w:val="28"/>
        </w:rPr>
        <w:t>propose</w:t>
      </w:r>
      <w:r>
        <w:rPr>
          <w:sz w:val="28"/>
          <w:szCs w:val="28"/>
        </w:rPr>
        <w:t xml:space="preserve"> </w:t>
      </w:r>
      <w:r w:rsidRPr="00000BF7">
        <w:rPr>
          <w:sz w:val="28"/>
          <w:szCs w:val="28"/>
        </w:rPr>
        <w:t>de retenir le brut avant abattement forfaitaire de 30 % si celui-ci est appliqué. En effet, la période</w:t>
      </w:r>
      <w:r>
        <w:rPr>
          <w:sz w:val="28"/>
          <w:szCs w:val="28"/>
        </w:rPr>
        <w:t xml:space="preserve"> </w:t>
      </w:r>
      <w:r w:rsidRPr="00000BF7">
        <w:rPr>
          <w:sz w:val="28"/>
          <w:szCs w:val="28"/>
        </w:rPr>
        <w:t xml:space="preserve">chômée ne dégage </w:t>
      </w:r>
      <w:r w:rsidRPr="00000BF7">
        <w:rPr>
          <w:sz w:val="28"/>
          <w:szCs w:val="28"/>
        </w:rPr>
        <w:t>aucun frais professionnel</w:t>
      </w:r>
      <w:r w:rsidRPr="00000BF7">
        <w:rPr>
          <w:sz w:val="28"/>
          <w:szCs w:val="28"/>
        </w:rPr>
        <w:t>, puisqu’il y a inactivité.</w:t>
      </w:r>
    </w:p>
    <w:p w14:paraId="5872972E" w14:textId="77777777" w:rsidR="00000BF7" w:rsidRDefault="00000BF7" w:rsidP="00000BF7">
      <w:pPr>
        <w:spacing w:after="0"/>
        <w:jc w:val="both"/>
        <w:rPr>
          <w:sz w:val="28"/>
          <w:szCs w:val="28"/>
        </w:rPr>
      </w:pPr>
    </w:p>
    <w:p w14:paraId="449B5710" w14:textId="4C74BE74" w:rsidR="003F5C4E" w:rsidRDefault="003F5C4E" w:rsidP="003F5C4E">
      <w:pPr>
        <w:spacing w:after="0"/>
        <w:jc w:val="both"/>
        <w:rPr>
          <w:i/>
          <w:iCs/>
          <w:sz w:val="28"/>
          <w:szCs w:val="28"/>
        </w:rPr>
      </w:pPr>
      <w:r w:rsidRPr="00001106">
        <w:rPr>
          <w:b/>
          <w:bCs/>
          <w:color w:val="FF0000"/>
          <w:sz w:val="28"/>
          <w:szCs w:val="28"/>
        </w:rPr>
        <w:t>Précision :</w:t>
      </w:r>
      <w:r w:rsidRPr="003F5C4E">
        <w:rPr>
          <w:sz w:val="28"/>
          <w:szCs w:val="28"/>
        </w:rPr>
        <w:t xml:space="preserve"> </w:t>
      </w:r>
      <w:r>
        <w:rPr>
          <w:i/>
          <w:iCs/>
          <w:sz w:val="28"/>
          <w:szCs w:val="28"/>
        </w:rPr>
        <w:t>S</w:t>
      </w:r>
      <w:r w:rsidRPr="003F5C4E">
        <w:rPr>
          <w:i/>
          <w:iCs/>
          <w:sz w:val="28"/>
          <w:szCs w:val="28"/>
        </w:rPr>
        <w:t>ont exclues de l’assiette du salaire de référence les sommes représentatives de frais</w:t>
      </w:r>
      <w:r w:rsidRPr="003F5C4E">
        <w:rPr>
          <w:i/>
          <w:iCs/>
          <w:sz w:val="28"/>
          <w:szCs w:val="28"/>
        </w:rPr>
        <w:t xml:space="preserve"> </w:t>
      </w:r>
      <w:r w:rsidRPr="003F5C4E">
        <w:rPr>
          <w:i/>
          <w:iCs/>
          <w:sz w:val="28"/>
          <w:szCs w:val="28"/>
        </w:rPr>
        <w:t xml:space="preserve">professionnels. De même, lorsque les commissions incluent l’indemnité de congés payés, </w:t>
      </w:r>
      <w:r w:rsidRPr="003F5C4E">
        <w:rPr>
          <w:i/>
          <w:iCs/>
          <w:sz w:val="28"/>
          <w:szCs w:val="28"/>
        </w:rPr>
        <w:t>les congés payés</w:t>
      </w:r>
      <w:r w:rsidRPr="003F5C4E">
        <w:rPr>
          <w:i/>
          <w:iCs/>
          <w:sz w:val="28"/>
          <w:szCs w:val="28"/>
        </w:rPr>
        <w:t xml:space="preserve"> doi</w:t>
      </w:r>
      <w:r w:rsidRPr="003F5C4E">
        <w:rPr>
          <w:i/>
          <w:iCs/>
          <w:sz w:val="28"/>
          <w:szCs w:val="28"/>
        </w:rPr>
        <w:t>vent</w:t>
      </w:r>
      <w:r w:rsidRPr="003F5C4E">
        <w:rPr>
          <w:i/>
          <w:iCs/>
          <w:sz w:val="28"/>
          <w:szCs w:val="28"/>
        </w:rPr>
        <w:t xml:space="preserve"> être déduit de la rémunération prise en compte pour la détermination de l’assiette.</w:t>
      </w:r>
    </w:p>
    <w:p w14:paraId="35BB4D98" w14:textId="77777777" w:rsidR="00001106" w:rsidRPr="00001106" w:rsidRDefault="00001106" w:rsidP="003F5C4E">
      <w:pPr>
        <w:spacing w:after="0"/>
        <w:jc w:val="both"/>
        <w:rPr>
          <w:i/>
          <w:iCs/>
          <w:sz w:val="12"/>
          <w:szCs w:val="12"/>
        </w:rPr>
      </w:pPr>
    </w:p>
    <w:p w14:paraId="6B489664" w14:textId="6D9C97CF" w:rsidR="003F5C4E" w:rsidRDefault="003F5C4E" w:rsidP="003F5C4E">
      <w:pPr>
        <w:spacing w:after="0"/>
        <w:jc w:val="both"/>
        <w:rPr>
          <w:i/>
          <w:iCs/>
          <w:sz w:val="28"/>
          <w:szCs w:val="28"/>
        </w:rPr>
      </w:pPr>
      <w:r w:rsidRPr="003F5C4E">
        <w:rPr>
          <w:i/>
          <w:iCs/>
          <w:sz w:val="28"/>
          <w:szCs w:val="28"/>
        </w:rPr>
        <w:t>Il vous faudra donc bien vérifier, à la fin du mois de mai (fin de la période de référence des congés</w:t>
      </w:r>
      <w:r w:rsidRPr="003F5C4E">
        <w:rPr>
          <w:i/>
          <w:iCs/>
          <w:sz w:val="28"/>
          <w:szCs w:val="28"/>
        </w:rPr>
        <w:t xml:space="preserve"> </w:t>
      </w:r>
      <w:r w:rsidRPr="003F5C4E">
        <w:rPr>
          <w:i/>
          <w:iCs/>
          <w:sz w:val="28"/>
          <w:szCs w:val="28"/>
        </w:rPr>
        <w:t>payés), que le montant des indemnités de congés payés versées sur l’année correspond bien à</w:t>
      </w:r>
      <w:r w:rsidRPr="003F5C4E">
        <w:rPr>
          <w:i/>
          <w:iCs/>
          <w:sz w:val="28"/>
          <w:szCs w:val="28"/>
        </w:rPr>
        <w:t xml:space="preserve"> </w:t>
      </w:r>
      <w:r w:rsidRPr="003F5C4E">
        <w:rPr>
          <w:i/>
          <w:iCs/>
          <w:sz w:val="28"/>
          <w:szCs w:val="28"/>
        </w:rPr>
        <w:t>10 % de la rémunération sur la période de référence et, le cas échéant, verser le complément.</w:t>
      </w:r>
    </w:p>
    <w:p w14:paraId="2B78C701" w14:textId="77777777" w:rsidR="00001106" w:rsidRPr="00001106" w:rsidRDefault="00001106" w:rsidP="003F5C4E">
      <w:pPr>
        <w:spacing w:after="0"/>
        <w:jc w:val="both"/>
        <w:rPr>
          <w:i/>
          <w:iCs/>
          <w:sz w:val="12"/>
          <w:szCs w:val="12"/>
        </w:rPr>
      </w:pPr>
    </w:p>
    <w:p w14:paraId="017742E3" w14:textId="4B7BB2C0" w:rsidR="00000BF7" w:rsidRPr="00000BF7" w:rsidRDefault="003F5C4E" w:rsidP="003F5C4E">
      <w:pPr>
        <w:spacing w:after="0"/>
        <w:jc w:val="both"/>
        <w:rPr>
          <w:sz w:val="28"/>
          <w:szCs w:val="28"/>
        </w:rPr>
      </w:pPr>
      <w:r w:rsidRPr="003F5C4E">
        <w:rPr>
          <w:i/>
          <w:iCs/>
          <w:sz w:val="28"/>
          <w:szCs w:val="28"/>
        </w:rPr>
        <w:t>Cette rémunération est ensuite divisée par le nombre d’heures mensuelles correspondant à la</w:t>
      </w:r>
      <w:r w:rsidRPr="003F5C4E">
        <w:rPr>
          <w:i/>
          <w:iCs/>
          <w:sz w:val="28"/>
          <w:szCs w:val="28"/>
        </w:rPr>
        <w:t xml:space="preserve"> </w:t>
      </w:r>
      <w:r w:rsidRPr="003F5C4E">
        <w:rPr>
          <w:i/>
          <w:iCs/>
          <w:sz w:val="28"/>
          <w:szCs w:val="28"/>
        </w:rPr>
        <w:t>durée légale du travail, soit 151,67. Ce résultat donne le taux horaire de base</w:t>
      </w:r>
      <w:r w:rsidRPr="003F5C4E">
        <w:rPr>
          <w:sz w:val="28"/>
          <w:szCs w:val="28"/>
        </w:rPr>
        <w:t>.</w:t>
      </w:r>
    </w:p>
    <w:p w14:paraId="13C2FA03" w14:textId="77777777" w:rsidR="007B76D3" w:rsidRPr="00000BF7" w:rsidRDefault="007B76D3" w:rsidP="00343272">
      <w:pPr>
        <w:spacing w:after="0"/>
        <w:jc w:val="both"/>
        <w:rPr>
          <w:sz w:val="28"/>
          <w:szCs w:val="28"/>
        </w:rPr>
      </w:pPr>
    </w:p>
    <w:p w14:paraId="7759D684" w14:textId="4C877765" w:rsidR="007B76D3" w:rsidRPr="007B76D3" w:rsidRDefault="007B76D3" w:rsidP="00343272">
      <w:pPr>
        <w:spacing w:after="0"/>
        <w:jc w:val="both"/>
        <w:rPr>
          <w:color w:val="0070C0"/>
          <w:sz w:val="28"/>
          <w:szCs w:val="28"/>
        </w:rPr>
      </w:pPr>
    </w:p>
    <w:p w14:paraId="03FC37D6" w14:textId="7C317FBC" w:rsidR="007B76D3" w:rsidRPr="00001106" w:rsidRDefault="00001106" w:rsidP="00001106">
      <w:pPr>
        <w:spacing w:after="0"/>
        <w:jc w:val="center"/>
        <w:rPr>
          <w:b/>
          <w:bCs/>
          <w:color w:val="002060"/>
          <w:sz w:val="28"/>
          <w:szCs w:val="28"/>
          <w:highlight w:val="yellow"/>
        </w:rPr>
      </w:pPr>
      <w:r w:rsidRPr="00001106">
        <w:rPr>
          <w:b/>
          <w:bCs/>
          <w:color w:val="002060"/>
          <w:sz w:val="28"/>
          <w:szCs w:val="28"/>
          <w:highlight w:val="yellow"/>
        </w:rPr>
        <w:t>Moyenne des 12 derniers mois / 151,67 = taux horaire de base</w:t>
      </w:r>
    </w:p>
    <w:p w14:paraId="66A11C42" w14:textId="139FD23A" w:rsidR="007B76D3" w:rsidRDefault="007B76D3" w:rsidP="00343272">
      <w:pPr>
        <w:spacing w:after="0"/>
        <w:jc w:val="both"/>
        <w:rPr>
          <w:sz w:val="10"/>
          <w:szCs w:val="10"/>
        </w:rPr>
      </w:pPr>
    </w:p>
    <w:p w14:paraId="7550B596" w14:textId="77777777" w:rsidR="007B76D3" w:rsidRPr="007B76D3" w:rsidRDefault="007B76D3" w:rsidP="00343272">
      <w:pPr>
        <w:spacing w:after="0"/>
        <w:jc w:val="both"/>
        <w:rPr>
          <w:sz w:val="10"/>
          <w:szCs w:val="10"/>
        </w:rPr>
      </w:pPr>
    </w:p>
    <w:p w14:paraId="39EDC033" w14:textId="4ACDE88E" w:rsidR="007B76D3" w:rsidRDefault="007B76D3" w:rsidP="00343272">
      <w:pPr>
        <w:spacing w:after="0"/>
        <w:jc w:val="both"/>
        <w:rPr>
          <w:sz w:val="28"/>
          <w:szCs w:val="28"/>
        </w:rPr>
      </w:pPr>
    </w:p>
    <w:p w14:paraId="585F6394" w14:textId="5E7C165B" w:rsidR="00001106" w:rsidRDefault="00001106" w:rsidP="00343272">
      <w:pPr>
        <w:spacing w:after="0"/>
        <w:jc w:val="both"/>
        <w:rPr>
          <w:sz w:val="28"/>
          <w:szCs w:val="28"/>
        </w:rPr>
      </w:pPr>
    </w:p>
    <w:p w14:paraId="0E6EAD5C" w14:textId="77777777" w:rsidR="00001106" w:rsidRPr="00001106" w:rsidRDefault="00001106" w:rsidP="00001106">
      <w:pPr>
        <w:spacing w:after="0"/>
        <w:jc w:val="both"/>
        <w:rPr>
          <w:b/>
          <w:bCs/>
          <w:color w:val="FF0000"/>
          <w:sz w:val="28"/>
          <w:szCs w:val="28"/>
        </w:rPr>
      </w:pPr>
      <w:r w:rsidRPr="00001106">
        <w:rPr>
          <w:b/>
          <w:bCs/>
          <w:color w:val="FF0000"/>
          <w:sz w:val="28"/>
          <w:szCs w:val="28"/>
        </w:rPr>
        <w:t>Étape 3 : Déterminer le montant de l’indemnité et de l’allocation d’activité partielle</w:t>
      </w:r>
    </w:p>
    <w:p w14:paraId="4883D5A1" w14:textId="77777777" w:rsidR="00001106" w:rsidRDefault="00001106" w:rsidP="00001106">
      <w:pPr>
        <w:spacing w:after="0"/>
        <w:jc w:val="both"/>
        <w:rPr>
          <w:sz w:val="28"/>
          <w:szCs w:val="28"/>
        </w:rPr>
      </w:pPr>
    </w:p>
    <w:p w14:paraId="71C6C1A7" w14:textId="77777777" w:rsidR="00001106" w:rsidRDefault="00001106" w:rsidP="00001106">
      <w:pPr>
        <w:spacing w:after="0"/>
        <w:jc w:val="both"/>
        <w:rPr>
          <w:sz w:val="28"/>
          <w:szCs w:val="28"/>
        </w:rPr>
      </w:pPr>
      <w:r w:rsidRPr="00001106">
        <w:rPr>
          <w:sz w:val="28"/>
          <w:szCs w:val="28"/>
        </w:rPr>
        <w:t>Le nombre d’heures éligibles à l’activité partielle est ensuite indemnisé à 70 % du taux horaire brut</w:t>
      </w:r>
      <w:r>
        <w:rPr>
          <w:sz w:val="28"/>
          <w:szCs w:val="28"/>
        </w:rPr>
        <w:t xml:space="preserve"> </w:t>
      </w:r>
      <w:r w:rsidRPr="00001106">
        <w:rPr>
          <w:sz w:val="28"/>
          <w:szCs w:val="28"/>
        </w:rPr>
        <w:t xml:space="preserve">de référence (soit environ 84 % du salaire net). </w:t>
      </w:r>
    </w:p>
    <w:p w14:paraId="2B30ED6C" w14:textId="77777777" w:rsidR="00001106" w:rsidRPr="00895B8A" w:rsidRDefault="00001106" w:rsidP="00001106">
      <w:pPr>
        <w:spacing w:after="0"/>
        <w:jc w:val="both"/>
        <w:rPr>
          <w:sz w:val="16"/>
          <w:szCs w:val="16"/>
        </w:rPr>
      </w:pPr>
    </w:p>
    <w:p w14:paraId="2323104E" w14:textId="335C1CAF" w:rsidR="00001106" w:rsidRDefault="00001106" w:rsidP="00001106">
      <w:pPr>
        <w:spacing w:after="0"/>
        <w:jc w:val="both"/>
        <w:rPr>
          <w:sz w:val="28"/>
          <w:szCs w:val="28"/>
        </w:rPr>
      </w:pPr>
      <w:r w:rsidRPr="00001106">
        <w:rPr>
          <w:sz w:val="28"/>
          <w:szCs w:val="28"/>
        </w:rPr>
        <w:t xml:space="preserve">Concrètement, pour les </w:t>
      </w:r>
      <w:r>
        <w:rPr>
          <w:sz w:val="28"/>
          <w:szCs w:val="28"/>
        </w:rPr>
        <w:t>VRP</w:t>
      </w:r>
      <w:r w:rsidRPr="00001106">
        <w:rPr>
          <w:sz w:val="28"/>
          <w:szCs w:val="28"/>
        </w:rPr>
        <w:t>, la différence</w:t>
      </w:r>
      <w:r>
        <w:rPr>
          <w:sz w:val="28"/>
          <w:szCs w:val="28"/>
        </w:rPr>
        <w:t xml:space="preserve"> </w:t>
      </w:r>
      <w:r w:rsidRPr="00001106">
        <w:rPr>
          <w:sz w:val="28"/>
          <w:szCs w:val="28"/>
        </w:rPr>
        <w:t>entre la rémunération versée et la rémunération mensuelle de référence sera indemnisée à 70 %</w:t>
      </w:r>
      <w:r>
        <w:rPr>
          <w:sz w:val="28"/>
          <w:szCs w:val="28"/>
        </w:rPr>
        <w:t xml:space="preserve"> </w:t>
      </w:r>
      <w:r w:rsidRPr="00001106">
        <w:rPr>
          <w:sz w:val="28"/>
          <w:szCs w:val="28"/>
        </w:rPr>
        <w:t>par l’employeur, qui pourra solliciter un remboursement à l’État.</w:t>
      </w:r>
    </w:p>
    <w:p w14:paraId="6FC542DB" w14:textId="77777777" w:rsidR="00001106" w:rsidRPr="00895B8A" w:rsidRDefault="00001106" w:rsidP="00001106">
      <w:pPr>
        <w:spacing w:after="0"/>
        <w:jc w:val="both"/>
        <w:rPr>
          <w:sz w:val="16"/>
          <w:szCs w:val="16"/>
        </w:rPr>
      </w:pPr>
    </w:p>
    <w:p w14:paraId="12B4BDF7" w14:textId="59EC5EFE" w:rsidR="00001106" w:rsidRDefault="00001106" w:rsidP="00001106">
      <w:pPr>
        <w:spacing w:after="0"/>
        <w:jc w:val="both"/>
        <w:rPr>
          <w:sz w:val="28"/>
          <w:szCs w:val="28"/>
        </w:rPr>
      </w:pPr>
      <w:r w:rsidRPr="00001106">
        <w:rPr>
          <w:sz w:val="28"/>
          <w:szCs w:val="28"/>
        </w:rPr>
        <w:t xml:space="preserve">En pratique, pour le mois de mars, </w:t>
      </w:r>
      <w:r>
        <w:rPr>
          <w:sz w:val="28"/>
          <w:szCs w:val="28"/>
        </w:rPr>
        <w:t>l’employeur doit</w:t>
      </w:r>
      <w:r w:rsidRPr="00001106">
        <w:rPr>
          <w:sz w:val="28"/>
          <w:szCs w:val="28"/>
        </w:rPr>
        <w:t xml:space="preserve"> comparer la rémunération du mois de</w:t>
      </w:r>
      <w:r>
        <w:rPr>
          <w:sz w:val="28"/>
          <w:szCs w:val="28"/>
        </w:rPr>
        <w:t xml:space="preserve"> </w:t>
      </w:r>
      <w:r w:rsidRPr="00001106">
        <w:rPr>
          <w:sz w:val="28"/>
          <w:szCs w:val="28"/>
        </w:rPr>
        <w:t xml:space="preserve">mars (salaire </w:t>
      </w:r>
      <w:r>
        <w:rPr>
          <w:sz w:val="28"/>
          <w:szCs w:val="28"/>
        </w:rPr>
        <w:t xml:space="preserve">composé uniquement de commission pour les VRP multicarte et pour les VRP exclusifs, salaire </w:t>
      </w:r>
      <w:r w:rsidRPr="00001106">
        <w:rPr>
          <w:sz w:val="28"/>
          <w:szCs w:val="28"/>
        </w:rPr>
        <w:t>minimum proratisé par le nombre de jours travaillés et commissions éventuellement</w:t>
      </w:r>
      <w:r>
        <w:rPr>
          <w:sz w:val="28"/>
          <w:szCs w:val="28"/>
        </w:rPr>
        <w:t xml:space="preserve"> </w:t>
      </w:r>
      <w:r w:rsidRPr="00001106">
        <w:rPr>
          <w:sz w:val="28"/>
          <w:szCs w:val="28"/>
        </w:rPr>
        <w:t xml:space="preserve">perçues) avec le salaire mensuel de référence. </w:t>
      </w:r>
    </w:p>
    <w:p w14:paraId="6A41A012" w14:textId="77777777" w:rsidR="00001106" w:rsidRPr="00895B8A" w:rsidRDefault="00001106" w:rsidP="00001106">
      <w:pPr>
        <w:spacing w:after="0"/>
        <w:jc w:val="both"/>
        <w:rPr>
          <w:sz w:val="16"/>
          <w:szCs w:val="16"/>
        </w:rPr>
      </w:pPr>
    </w:p>
    <w:p w14:paraId="66F7F6C0" w14:textId="70ECA8C6" w:rsidR="00001106" w:rsidRDefault="00001106" w:rsidP="00001106">
      <w:pPr>
        <w:spacing w:after="0"/>
        <w:jc w:val="both"/>
        <w:rPr>
          <w:sz w:val="28"/>
          <w:szCs w:val="28"/>
        </w:rPr>
      </w:pPr>
      <w:r w:rsidRPr="00001106">
        <w:rPr>
          <w:sz w:val="28"/>
          <w:szCs w:val="28"/>
        </w:rPr>
        <w:t>Si la rémunération mensuelle de référence est</w:t>
      </w:r>
      <w:r>
        <w:rPr>
          <w:sz w:val="28"/>
          <w:szCs w:val="28"/>
        </w:rPr>
        <w:t xml:space="preserve"> </w:t>
      </w:r>
      <w:r w:rsidRPr="00001106">
        <w:rPr>
          <w:sz w:val="28"/>
          <w:szCs w:val="28"/>
        </w:rPr>
        <w:t>supérieure, la différence devra être prise en charge au titre de l’activité partielle. Le même calcul</w:t>
      </w:r>
      <w:r>
        <w:rPr>
          <w:sz w:val="28"/>
          <w:szCs w:val="28"/>
        </w:rPr>
        <w:t xml:space="preserve"> </w:t>
      </w:r>
      <w:r w:rsidRPr="00001106">
        <w:rPr>
          <w:sz w:val="28"/>
          <w:szCs w:val="28"/>
        </w:rPr>
        <w:t>devra être fait tous les mois.</w:t>
      </w:r>
    </w:p>
    <w:p w14:paraId="42139AA8" w14:textId="0520FA13" w:rsidR="00895B8A" w:rsidRPr="00895B8A" w:rsidRDefault="00895B8A" w:rsidP="00001106">
      <w:pPr>
        <w:spacing w:after="0"/>
        <w:jc w:val="both"/>
        <w:rPr>
          <w:sz w:val="16"/>
          <w:szCs w:val="16"/>
        </w:rPr>
      </w:pPr>
    </w:p>
    <w:p w14:paraId="5D26529D" w14:textId="6D789261" w:rsidR="00895B8A" w:rsidRDefault="00895B8A" w:rsidP="00001106">
      <w:pPr>
        <w:spacing w:after="0"/>
        <w:jc w:val="both"/>
        <w:rPr>
          <w:sz w:val="28"/>
          <w:szCs w:val="28"/>
        </w:rPr>
      </w:pPr>
      <w:r>
        <w:rPr>
          <w:sz w:val="28"/>
          <w:szCs w:val="28"/>
        </w:rPr>
        <w:t>Attention pour les VRP multicarte pensez à vérifier que tous les employeurs de vos cartes vous ont bien déclaré en chômage partiel.</w:t>
      </w:r>
    </w:p>
    <w:p w14:paraId="000A4D16" w14:textId="77777777" w:rsidR="00001106" w:rsidRPr="00895B8A" w:rsidRDefault="00001106" w:rsidP="00001106">
      <w:pPr>
        <w:spacing w:after="0"/>
        <w:jc w:val="both"/>
        <w:rPr>
          <w:sz w:val="16"/>
          <w:szCs w:val="16"/>
        </w:rPr>
      </w:pPr>
    </w:p>
    <w:p w14:paraId="597288FC" w14:textId="0695E5B2" w:rsidR="00001106" w:rsidRPr="00343272" w:rsidRDefault="00001106" w:rsidP="00001106">
      <w:pPr>
        <w:spacing w:after="0"/>
        <w:jc w:val="both"/>
        <w:rPr>
          <w:sz w:val="28"/>
          <w:szCs w:val="28"/>
        </w:rPr>
      </w:pPr>
      <w:r w:rsidRPr="00001106">
        <w:rPr>
          <w:sz w:val="28"/>
          <w:szCs w:val="28"/>
        </w:rPr>
        <w:t xml:space="preserve">Si vous avez </w:t>
      </w:r>
      <w:r w:rsidR="00895B8A">
        <w:rPr>
          <w:sz w:val="28"/>
          <w:szCs w:val="28"/>
        </w:rPr>
        <w:t xml:space="preserve">été </w:t>
      </w:r>
      <w:r w:rsidRPr="00001106">
        <w:rPr>
          <w:sz w:val="28"/>
          <w:szCs w:val="28"/>
        </w:rPr>
        <w:t>mis en activité partielle</w:t>
      </w:r>
      <w:r w:rsidR="00895B8A">
        <w:rPr>
          <w:sz w:val="28"/>
          <w:szCs w:val="28"/>
        </w:rPr>
        <w:t xml:space="preserve"> à 100/100, c’est à dire</w:t>
      </w:r>
      <w:r w:rsidRPr="00001106">
        <w:rPr>
          <w:sz w:val="28"/>
          <w:szCs w:val="28"/>
        </w:rPr>
        <w:t xml:space="preserve"> </w:t>
      </w:r>
      <w:r w:rsidR="00895B8A">
        <w:rPr>
          <w:sz w:val="28"/>
          <w:szCs w:val="28"/>
        </w:rPr>
        <w:t xml:space="preserve">avec une </w:t>
      </w:r>
      <w:r w:rsidRPr="00001106">
        <w:rPr>
          <w:sz w:val="28"/>
          <w:szCs w:val="28"/>
        </w:rPr>
        <w:t>suspension de l’activité, vo</w:t>
      </w:r>
      <w:r w:rsidR="00895B8A">
        <w:rPr>
          <w:sz w:val="28"/>
          <w:szCs w:val="28"/>
        </w:rPr>
        <w:t>us ne devez</w:t>
      </w:r>
      <w:r w:rsidRPr="00001106">
        <w:rPr>
          <w:sz w:val="28"/>
          <w:szCs w:val="28"/>
        </w:rPr>
        <w:t xml:space="preserve"> plus exercer aucune activité</w:t>
      </w:r>
      <w:r w:rsidR="00895B8A">
        <w:rPr>
          <w:sz w:val="28"/>
          <w:szCs w:val="28"/>
        </w:rPr>
        <w:t xml:space="preserve"> sous peine d’engager la responsabilité de votre employeur pour fausse déclaration. </w:t>
      </w:r>
      <w:r w:rsidRPr="00001106">
        <w:rPr>
          <w:sz w:val="28"/>
          <w:szCs w:val="28"/>
        </w:rPr>
        <w:t>Le mois d’avril sera donc totalement</w:t>
      </w:r>
      <w:r>
        <w:rPr>
          <w:sz w:val="28"/>
          <w:szCs w:val="28"/>
        </w:rPr>
        <w:t xml:space="preserve"> </w:t>
      </w:r>
      <w:r w:rsidRPr="00001106">
        <w:rPr>
          <w:sz w:val="28"/>
          <w:szCs w:val="28"/>
        </w:rPr>
        <w:t xml:space="preserve">chômé. Concernant les commissions qui viendraient à tomber sur ce mois, </w:t>
      </w:r>
      <w:r w:rsidR="00895B8A">
        <w:rPr>
          <w:sz w:val="28"/>
          <w:szCs w:val="28"/>
        </w:rPr>
        <w:t xml:space="preserve">votre employeur devra </w:t>
      </w:r>
      <w:r w:rsidRPr="00001106">
        <w:rPr>
          <w:sz w:val="28"/>
          <w:szCs w:val="28"/>
        </w:rPr>
        <w:t>les verser à la fin de la période de suspension du contrat, soit a priori sur le bulletin de paye du</w:t>
      </w:r>
      <w:r>
        <w:rPr>
          <w:sz w:val="28"/>
          <w:szCs w:val="28"/>
        </w:rPr>
        <w:t xml:space="preserve"> </w:t>
      </w:r>
      <w:r w:rsidRPr="00001106">
        <w:rPr>
          <w:sz w:val="28"/>
          <w:szCs w:val="28"/>
        </w:rPr>
        <w:t>mois de mai</w:t>
      </w:r>
      <w:r w:rsidR="00895B8A">
        <w:rPr>
          <w:sz w:val="28"/>
          <w:szCs w:val="28"/>
        </w:rPr>
        <w:t xml:space="preserve"> si le confinement lié au Covid-19 est levé.</w:t>
      </w:r>
    </w:p>
    <w:p w14:paraId="1D846FBB" w14:textId="3F99811B" w:rsidR="00B62B68" w:rsidRDefault="00B62B68" w:rsidP="0032704E">
      <w:pPr>
        <w:spacing w:after="0"/>
        <w:jc w:val="both"/>
        <w:rPr>
          <w:b/>
          <w:bCs/>
          <w:color w:val="FF0000"/>
          <w:sz w:val="28"/>
          <w:szCs w:val="28"/>
        </w:rPr>
      </w:pPr>
    </w:p>
    <w:p w14:paraId="7EFABF6C" w14:textId="748E9189" w:rsidR="00895B8A" w:rsidRDefault="00895B8A" w:rsidP="0032704E">
      <w:pPr>
        <w:spacing w:after="0"/>
        <w:jc w:val="both"/>
        <w:rPr>
          <w:b/>
          <w:bCs/>
          <w:color w:val="FF0000"/>
          <w:sz w:val="28"/>
          <w:szCs w:val="28"/>
        </w:rPr>
      </w:pPr>
    </w:p>
    <w:p w14:paraId="1C7225FD" w14:textId="62282011" w:rsidR="00895B8A" w:rsidRDefault="00895B8A" w:rsidP="0032704E">
      <w:pPr>
        <w:spacing w:after="0"/>
        <w:jc w:val="both"/>
        <w:rPr>
          <w:b/>
          <w:bCs/>
          <w:color w:val="FF0000"/>
          <w:sz w:val="28"/>
          <w:szCs w:val="28"/>
        </w:rPr>
      </w:pPr>
    </w:p>
    <w:p w14:paraId="38631F1E" w14:textId="4DAD8DCD" w:rsidR="00895B8A" w:rsidRDefault="00895B8A" w:rsidP="0032704E">
      <w:pPr>
        <w:spacing w:after="0"/>
        <w:jc w:val="both"/>
        <w:rPr>
          <w:b/>
          <w:bCs/>
          <w:color w:val="FF0000"/>
          <w:sz w:val="28"/>
          <w:szCs w:val="28"/>
        </w:rPr>
      </w:pPr>
    </w:p>
    <w:p w14:paraId="1625CB64" w14:textId="42F86D9B" w:rsidR="00895B8A" w:rsidRDefault="00895B8A" w:rsidP="0032704E">
      <w:pPr>
        <w:spacing w:after="0"/>
        <w:jc w:val="both"/>
        <w:rPr>
          <w:b/>
          <w:bCs/>
          <w:color w:val="FF0000"/>
          <w:sz w:val="28"/>
          <w:szCs w:val="28"/>
        </w:rPr>
      </w:pPr>
    </w:p>
    <w:p w14:paraId="4F91A894" w14:textId="21FD045E" w:rsidR="00895B8A" w:rsidRDefault="00895B8A" w:rsidP="0032704E">
      <w:pPr>
        <w:spacing w:after="0"/>
        <w:jc w:val="both"/>
        <w:rPr>
          <w:b/>
          <w:bCs/>
          <w:color w:val="FF0000"/>
          <w:sz w:val="28"/>
          <w:szCs w:val="28"/>
        </w:rPr>
      </w:pPr>
    </w:p>
    <w:p w14:paraId="029D5262" w14:textId="686E30F9" w:rsidR="00895B8A" w:rsidRDefault="00895B8A" w:rsidP="0032704E">
      <w:pPr>
        <w:spacing w:after="0"/>
        <w:jc w:val="both"/>
        <w:rPr>
          <w:b/>
          <w:bCs/>
          <w:color w:val="FF0000"/>
          <w:sz w:val="28"/>
          <w:szCs w:val="28"/>
        </w:rPr>
      </w:pPr>
    </w:p>
    <w:p w14:paraId="39FA7FD5" w14:textId="77777777" w:rsidR="00895B8A" w:rsidRPr="00343272" w:rsidRDefault="00895B8A" w:rsidP="0032704E">
      <w:pPr>
        <w:spacing w:after="0"/>
        <w:jc w:val="both"/>
        <w:rPr>
          <w:b/>
          <w:bCs/>
          <w:color w:val="FF0000"/>
          <w:sz w:val="28"/>
          <w:szCs w:val="28"/>
        </w:rPr>
      </w:pPr>
    </w:p>
    <w:p w14:paraId="3A6616F5" w14:textId="541900CA" w:rsidR="00FA73A3" w:rsidRDefault="00CD452D" w:rsidP="00681AF0">
      <w:pPr>
        <w:spacing w:after="0"/>
        <w:jc w:val="both"/>
        <w:rPr>
          <w:color w:val="002060"/>
          <w:sz w:val="24"/>
          <w:szCs w:val="24"/>
        </w:rPr>
      </w:pPr>
      <w:r>
        <w:rPr>
          <w:noProof/>
          <w:lang w:eastAsia="fr-FR"/>
        </w:rPr>
        <mc:AlternateContent>
          <mc:Choice Requires="wps">
            <w:drawing>
              <wp:anchor distT="0" distB="0" distL="114300" distR="114300" simplePos="0" relativeHeight="251660288" behindDoc="0" locked="0" layoutInCell="1" allowOverlap="1" wp14:anchorId="524E6EBB" wp14:editId="5AEDD40C">
                <wp:simplePos x="0" y="0"/>
                <wp:positionH relativeFrom="margin">
                  <wp:align>right</wp:align>
                </wp:positionH>
                <wp:positionV relativeFrom="paragraph">
                  <wp:posOffset>168275</wp:posOffset>
                </wp:positionV>
                <wp:extent cx="2343150" cy="647700"/>
                <wp:effectExtent l="0" t="0" r="19050" b="19050"/>
                <wp:wrapNone/>
                <wp:docPr id="3" name="Zone de texte 3"/>
                <wp:cNvGraphicFramePr/>
                <a:graphic xmlns:a="http://schemas.openxmlformats.org/drawingml/2006/main">
                  <a:graphicData uri="http://schemas.microsoft.com/office/word/2010/wordprocessingShape">
                    <wps:wsp>
                      <wps:cNvSpPr txBox="1"/>
                      <wps:spPr>
                        <a:xfrm>
                          <a:off x="0" y="0"/>
                          <a:ext cx="2343150" cy="647700"/>
                        </a:xfrm>
                        <a:prstGeom prst="rect">
                          <a:avLst/>
                        </a:prstGeom>
                        <a:solidFill>
                          <a:schemeClr val="lt1"/>
                        </a:solidFill>
                        <a:ln w="6350">
                          <a:solidFill>
                            <a:prstClr val="black"/>
                          </a:solidFill>
                        </a:ln>
                      </wps:spPr>
                      <wps:txbx>
                        <w:txbxContent>
                          <w:p w14:paraId="0CAEFB1E" w14:textId="77777777" w:rsidR="005F3E2E" w:rsidRPr="00785FEF" w:rsidRDefault="005F3E2E" w:rsidP="005F3E2E">
                            <w:pPr>
                              <w:spacing w:after="0"/>
                              <w:rPr>
                                <w:b/>
                                <w:bCs/>
                                <w:color w:val="0070C0"/>
                                <w:sz w:val="24"/>
                                <w:szCs w:val="24"/>
                              </w:rPr>
                            </w:pPr>
                            <w:r w:rsidRPr="00785FEF">
                              <w:rPr>
                                <w:b/>
                                <w:bCs/>
                                <w:color w:val="0070C0"/>
                                <w:sz w:val="24"/>
                                <w:szCs w:val="24"/>
                              </w:rPr>
                              <w:t xml:space="preserve">Contact presse </w:t>
                            </w:r>
                          </w:p>
                          <w:p w14:paraId="2FE45743" w14:textId="77777777" w:rsidR="005F3E2E" w:rsidRDefault="005F3E2E" w:rsidP="005F3E2E">
                            <w:pPr>
                              <w:spacing w:after="0"/>
                            </w:pPr>
                            <w:r>
                              <w:t>Hervé DELATTRE  06 95 53 62 19</w:t>
                            </w:r>
                          </w:p>
                          <w:p w14:paraId="65F46301" w14:textId="77777777" w:rsidR="005F3E2E" w:rsidRDefault="005F3E2E" w:rsidP="005F3E2E">
                            <w:pPr>
                              <w:spacing w:after="0"/>
                            </w:pPr>
                            <w:r>
                              <w:t>Secrétaire général</w:t>
                            </w:r>
                          </w:p>
                          <w:p w14:paraId="6B870A02" w14:textId="77777777" w:rsidR="005F3E2E" w:rsidRDefault="005F3E2E" w:rsidP="005F3E2E">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E6EBB" id="Zone de texte 3" o:spid="_x0000_s1027" type="#_x0000_t202" style="position:absolute;left:0;text-align:left;margin-left:133.3pt;margin-top:13.25pt;width:184.5pt;height:5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" fillcolor="white [3201]" strokeweight=".5pt">
                <v:textbox>
                  <w:txbxContent>
                    <w:p w14:paraId="0CAEFB1E" w14:textId="77777777" w:rsidR="005F3E2E" w:rsidRPr="00785FEF" w:rsidRDefault="005F3E2E" w:rsidP="005F3E2E">
                      <w:pPr>
                        <w:spacing w:after="0"/>
                        <w:rPr>
                          <w:b/>
                          <w:bCs/>
                          <w:color w:val="0070C0"/>
                          <w:sz w:val="24"/>
                          <w:szCs w:val="24"/>
                        </w:rPr>
                      </w:pPr>
                      <w:r w:rsidRPr="00785FEF">
                        <w:rPr>
                          <w:b/>
                          <w:bCs/>
                          <w:color w:val="0070C0"/>
                          <w:sz w:val="24"/>
                          <w:szCs w:val="24"/>
                        </w:rPr>
                        <w:t xml:space="preserve">Contact presse </w:t>
                      </w:r>
                    </w:p>
                    <w:p w14:paraId="2FE45743" w14:textId="77777777" w:rsidR="005F3E2E" w:rsidRDefault="005F3E2E" w:rsidP="005F3E2E">
                      <w:pPr>
                        <w:spacing w:after="0"/>
                      </w:pPr>
                      <w:r>
                        <w:t>Hervé DELATTRE  06 95 53 62 19</w:t>
                      </w:r>
                    </w:p>
                    <w:p w14:paraId="65F46301" w14:textId="77777777" w:rsidR="005F3E2E" w:rsidRDefault="005F3E2E" w:rsidP="005F3E2E">
                      <w:pPr>
                        <w:spacing w:after="0"/>
                      </w:pPr>
                      <w:r>
                        <w:t>Secrétaire général</w:t>
                      </w:r>
                    </w:p>
                    <w:p w14:paraId="6B870A02" w14:textId="77777777" w:rsidR="005F3E2E" w:rsidRDefault="005F3E2E" w:rsidP="005F3E2E">
                      <w:pPr>
                        <w:spacing w:after="0"/>
                      </w:pPr>
                    </w:p>
                  </w:txbxContent>
                </v:textbox>
                <w10:wrap anchorx="margin"/>
              </v:shape>
            </w:pict>
          </mc:Fallback>
        </mc:AlternateContent>
      </w:r>
      <w:r>
        <w:rPr>
          <w:noProof/>
          <w:lang w:eastAsia="fr-FR"/>
        </w:rPr>
        <mc:AlternateContent>
          <mc:Choice Requires="wps">
            <w:drawing>
              <wp:anchor distT="0" distB="0" distL="114300" distR="114300" simplePos="0" relativeHeight="251661312" behindDoc="0" locked="0" layoutInCell="1" allowOverlap="1" wp14:anchorId="4FAFF355" wp14:editId="4198F4BB">
                <wp:simplePos x="0" y="0"/>
                <wp:positionH relativeFrom="margin">
                  <wp:align>left</wp:align>
                </wp:positionH>
                <wp:positionV relativeFrom="paragraph">
                  <wp:posOffset>123825</wp:posOffset>
                </wp:positionV>
                <wp:extent cx="4143375" cy="838200"/>
                <wp:effectExtent l="0" t="0" r="28575" b="19050"/>
                <wp:wrapNone/>
                <wp:docPr id="4" name="Zone de texte 4"/>
                <wp:cNvGraphicFramePr/>
                <a:graphic xmlns:a="http://schemas.openxmlformats.org/drawingml/2006/main">
                  <a:graphicData uri="http://schemas.microsoft.com/office/word/2010/wordprocessingShape">
                    <wps:wsp>
                      <wps:cNvSpPr txBox="1"/>
                      <wps:spPr>
                        <a:xfrm>
                          <a:off x="0" y="0"/>
                          <a:ext cx="4143375" cy="838200"/>
                        </a:xfrm>
                        <a:prstGeom prst="rect">
                          <a:avLst/>
                        </a:prstGeom>
                        <a:solidFill>
                          <a:schemeClr val="lt1"/>
                        </a:solidFill>
                        <a:ln w="6350">
                          <a:solidFill>
                            <a:schemeClr val="bg1"/>
                          </a:solidFill>
                        </a:ln>
                      </wps:spPr>
                      <wps:txbx>
                        <w:txbxContent>
                          <w:p w14:paraId="34499392" w14:textId="77777777" w:rsidR="00B16D4E" w:rsidRPr="005F3E2E" w:rsidRDefault="00B16D4E" w:rsidP="00B16D4E">
                            <w:pPr>
                              <w:widowControl w:val="0"/>
                              <w:spacing w:after="0" w:line="216" w:lineRule="auto"/>
                              <w:rPr>
                                <w:rFonts w:ascii="Arial" w:eastAsia="Times New Roman" w:hAnsi="Arial" w:cs="Arial"/>
                                <w:b/>
                                <w:bCs/>
                                <w:caps/>
                                <w:color w:val="E40613"/>
                                <w:kern w:val="28"/>
                                <w:lang w:val="en-US" w:eastAsia="fr-FR"/>
                                <w14:cntxtAlts/>
                              </w:rPr>
                            </w:pPr>
                            <w:r w:rsidRPr="005F3E2E">
                              <w:rPr>
                                <w:rFonts w:ascii="Arial" w:eastAsia="Times New Roman" w:hAnsi="Arial" w:cs="Arial"/>
                                <w:b/>
                                <w:bCs/>
                                <w:caps/>
                                <w:color w:val="E40613"/>
                                <w:kern w:val="28"/>
                                <w:lang w:eastAsia="fr-FR"/>
                                <w14:cntxtAlts/>
                              </w:rPr>
                              <w:t>Fédèration cgt des vrp et commerciaux</w:t>
                            </w:r>
                          </w:p>
                          <w:p w14:paraId="05AF160B" w14:textId="5199FC64" w:rsidR="00B16D4E" w:rsidRPr="005F3E2E" w:rsidRDefault="00B16D4E" w:rsidP="00B16D4E">
                            <w:pPr>
                              <w:spacing w:after="0"/>
                              <w:rPr>
                                <w:rFonts w:ascii="Arial" w:eastAsia="Times New Roman" w:hAnsi="Arial" w:cs="Arial"/>
                                <w:b/>
                                <w:bCs/>
                                <w:color w:val="333333"/>
                                <w:kern w:val="28"/>
                                <w:sz w:val="16"/>
                                <w:szCs w:val="16"/>
                                <w:lang w:eastAsia="fr-FR"/>
                                <w14:cntxtAlts/>
                              </w:rPr>
                            </w:pPr>
                            <w:r w:rsidRPr="00040696">
                              <w:rPr>
                                <w:rFonts w:ascii="Arial" w:eastAsia="Times New Roman" w:hAnsi="Arial" w:cs="Arial"/>
                                <w:b/>
                                <w:bCs/>
                                <w:kern w:val="28"/>
                                <w:sz w:val="18"/>
                                <w:szCs w:val="18"/>
                                <w:lang w:eastAsia="fr-FR"/>
                                <w14:cntxtAlts/>
                              </w:rPr>
                              <w:t>Bourse du Travail de Paris</w:t>
                            </w:r>
                          </w:p>
                          <w:p w14:paraId="28ED5AD8" w14:textId="77777777" w:rsidR="00B16D4E" w:rsidRPr="005F3E2E" w:rsidRDefault="00B16D4E" w:rsidP="00B16D4E">
                            <w:pPr>
                              <w:spacing w:after="0" w:line="300" w:lineRule="auto"/>
                              <w:rPr>
                                <w:rFonts w:ascii="Arial" w:eastAsia="Times New Roman" w:hAnsi="Arial" w:cs="Arial"/>
                                <w:b/>
                                <w:bCs/>
                                <w:color w:val="333333"/>
                                <w:kern w:val="28"/>
                                <w:sz w:val="16"/>
                                <w:szCs w:val="16"/>
                                <w:lang w:eastAsia="fr-FR"/>
                                <w14:cntxtAlts/>
                              </w:rPr>
                            </w:pPr>
                            <w:r w:rsidRPr="005F3E2E">
                              <w:rPr>
                                <w:rFonts w:ascii="Arial" w:eastAsia="Times New Roman" w:hAnsi="Arial" w:cs="Arial"/>
                                <w:b/>
                                <w:bCs/>
                                <w:color w:val="333333"/>
                                <w:kern w:val="28"/>
                                <w:sz w:val="16"/>
                                <w:szCs w:val="16"/>
                                <w:lang w:eastAsia="fr-FR"/>
                                <w14:cntxtAlts/>
                              </w:rPr>
                              <w:t>Bureaux 102 à 105</w:t>
                            </w:r>
                          </w:p>
                          <w:p w14:paraId="34C2E8CF" w14:textId="77777777" w:rsidR="00B16D4E" w:rsidRPr="005F3E2E" w:rsidRDefault="00B16D4E" w:rsidP="00B16D4E">
                            <w:pPr>
                              <w:spacing w:after="0" w:line="300" w:lineRule="auto"/>
                              <w:rPr>
                                <w:rFonts w:ascii="Arial" w:eastAsia="Times New Roman" w:hAnsi="Arial" w:cs="Arial"/>
                                <w:b/>
                                <w:bCs/>
                                <w:color w:val="333333"/>
                                <w:kern w:val="28"/>
                                <w:sz w:val="16"/>
                                <w:szCs w:val="16"/>
                                <w:lang w:eastAsia="fr-FR"/>
                                <w14:cntxtAlts/>
                              </w:rPr>
                            </w:pPr>
                            <w:r w:rsidRPr="005F3E2E">
                              <w:rPr>
                                <w:rFonts w:ascii="Arial" w:eastAsia="Times New Roman" w:hAnsi="Arial" w:cs="Arial"/>
                                <w:b/>
                                <w:bCs/>
                                <w:color w:val="333333"/>
                                <w:kern w:val="28"/>
                                <w:sz w:val="16"/>
                                <w:szCs w:val="16"/>
                                <w:lang w:eastAsia="fr-FR"/>
                                <w14:cntxtAlts/>
                              </w:rPr>
                              <w:t>3 rue du Château d’Eau</w:t>
                            </w:r>
                          </w:p>
                          <w:p w14:paraId="12DB21E9" w14:textId="346A2CF5" w:rsidR="00B16D4E" w:rsidRDefault="00B16D4E" w:rsidP="00B16D4E">
                            <w:r w:rsidRPr="005F3E2E">
                              <w:rPr>
                                <w:rFonts w:ascii="Arial" w:eastAsia="Times New Roman" w:hAnsi="Arial" w:cs="Arial"/>
                                <w:b/>
                                <w:bCs/>
                                <w:color w:val="333333"/>
                                <w:kern w:val="28"/>
                                <w:sz w:val="16"/>
                                <w:szCs w:val="16"/>
                                <w:lang w:eastAsia="fr-FR"/>
                                <w14:cntxtAlts/>
                              </w:rPr>
                              <w:t>75010 Paris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AFF355" id="Zone de texte 4" o:spid="_x0000_s1028" type="#_x0000_t202" style="position:absolute;left:0;text-align:left;margin-left:0;margin-top:9.75pt;width:326.25pt;height:66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" fillcolor="white [3201]" strokecolor="white [3212]" strokeweight=".5pt">
                <v:textbox>
                  <w:txbxContent>
                    <w:p w14:paraId="34499392" w14:textId="77777777" w:rsidR="00B16D4E" w:rsidRPr="005F3E2E" w:rsidRDefault="00B16D4E" w:rsidP="00B16D4E">
                      <w:pPr>
                        <w:widowControl w:val="0"/>
                        <w:spacing w:after="0" w:line="216" w:lineRule="auto"/>
                        <w:rPr>
                          <w:rFonts w:ascii="Arial" w:eastAsia="Times New Roman" w:hAnsi="Arial" w:cs="Arial"/>
                          <w:b/>
                          <w:bCs/>
                          <w:caps/>
                          <w:color w:val="E40613"/>
                          <w:kern w:val="28"/>
                          <w:lang w:val="en-US" w:eastAsia="fr-FR"/>
                          <w14:cntxtAlts/>
                        </w:rPr>
                      </w:pPr>
                      <w:r w:rsidRPr="005F3E2E">
                        <w:rPr>
                          <w:rFonts w:ascii="Arial" w:eastAsia="Times New Roman" w:hAnsi="Arial" w:cs="Arial"/>
                          <w:b/>
                          <w:bCs/>
                          <w:caps/>
                          <w:color w:val="E40613"/>
                          <w:kern w:val="28"/>
                          <w:lang w:eastAsia="fr-FR"/>
                          <w14:cntxtAlts/>
                        </w:rPr>
                        <w:t>Fédèration cgt des vrp et commerciaux</w:t>
                      </w:r>
                    </w:p>
                    <w:p w14:paraId="05AF160B" w14:textId="5199FC64" w:rsidR="00B16D4E" w:rsidRPr="005F3E2E" w:rsidRDefault="00B16D4E" w:rsidP="00B16D4E">
                      <w:pPr>
                        <w:spacing w:after="0"/>
                        <w:rPr>
                          <w:rFonts w:ascii="Arial" w:eastAsia="Times New Roman" w:hAnsi="Arial" w:cs="Arial"/>
                          <w:b/>
                          <w:bCs/>
                          <w:color w:val="333333"/>
                          <w:kern w:val="28"/>
                          <w:sz w:val="16"/>
                          <w:szCs w:val="16"/>
                          <w:lang w:eastAsia="fr-FR"/>
                          <w14:cntxtAlts/>
                        </w:rPr>
                      </w:pPr>
                      <w:r w:rsidRPr="00040696">
                        <w:rPr>
                          <w:rFonts w:ascii="Arial" w:eastAsia="Times New Roman" w:hAnsi="Arial" w:cs="Arial"/>
                          <w:b/>
                          <w:bCs/>
                          <w:kern w:val="28"/>
                          <w:sz w:val="18"/>
                          <w:szCs w:val="18"/>
                          <w:lang w:eastAsia="fr-FR"/>
                          <w14:cntxtAlts/>
                        </w:rPr>
                        <w:t>Bourse du Travail de Paris</w:t>
                      </w:r>
                    </w:p>
                    <w:p w14:paraId="28ED5AD8" w14:textId="77777777" w:rsidR="00B16D4E" w:rsidRPr="005F3E2E" w:rsidRDefault="00B16D4E" w:rsidP="00B16D4E">
                      <w:pPr>
                        <w:spacing w:after="0" w:line="300" w:lineRule="auto"/>
                        <w:rPr>
                          <w:rFonts w:ascii="Arial" w:eastAsia="Times New Roman" w:hAnsi="Arial" w:cs="Arial"/>
                          <w:b/>
                          <w:bCs/>
                          <w:color w:val="333333"/>
                          <w:kern w:val="28"/>
                          <w:sz w:val="16"/>
                          <w:szCs w:val="16"/>
                          <w:lang w:eastAsia="fr-FR"/>
                          <w14:cntxtAlts/>
                        </w:rPr>
                      </w:pPr>
                      <w:r w:rsidRPr="005F3E2E">
                        <w:rPr>
                          <w:rFonts w:ascii="Arial" w:eastAsia="Times New Roman" w:hAnsi="Arial" w:cs="Arial"/>
                          <w:b/>
                          <w:bCs/>
                          <w:color w:val="333333"/>
                          <w:kern w:val="28"/>
                          <w:sz w:val="16"/>
                          <w:szCs w:val="16"/>
                          <w:lang w:eastAsia="fr-FR"/>
                          <w14:cntxtAlts/>
                        </w:rPr>
                        <w:t>Bureaux 102 à 105</w:t>
                      </w:r>
                    </w:p>
                    <w:p w14:paraId="34C2E8CF" w14:textId="77777777" w:rsidR="00B16D4E" w:rsidRPr="005F3E2E" w:rsidRDefault="00B16D4E" w:rsidP="00B16D4E">
                      <w:pPr>
                        <w:spacing w:after="0" w:line="300" w:lineRule="auto"/>
                        <w:rPr>
                          <w:rFonts w:ascii="Arial" w:eastAsia="Times New Roman" w:hAnsi="Arial" w:cs="Arial"/>
                          <w:b/>
                          <w:bCs/>
                          <w:color w:val="333333"/>
                          <w:kern w:val="28"/>
                          <w:sz w:val="16"/>
                          <w:szCs w:val="16"/>
                          <w:lang w:eastAsia="fr-FR"/>
                          <w14:cntxtAlts/>
                        </w:rPr>
                      </w:pPr>
                      <w:r w:rsidRPr="005F3E2E">
                        <w:rPr>
                          <w:rFonts w:ascii="Arial" w:eastAsia="Times New Roman" w:hAnsi="Arial" w:cs="Arial"/>
                          <w:b/>
                          <w:bCs/>
                          <w:color w:val="333333"/>
                          <w:kern w:val="28"/>
                          <w:sz w:val="16"/>
                          <w:szCs w:val="16"/>
                          <w:lang w:eastAsia="fr-FR"/>
                          <w14:cntxtAlts/>
                        </w:rPr>
                        <w:t>3 rue du Château d’Eau</w:t>
                      </w:r>
                    </w:p>
                    <w:p w14:paraId="12DB21E9" w14:textId="346A2CF5" w:rsidR="00B16D4E" w:rsidRDefault="00B16D4E" w:rsidP="00B16D4E">
                      <w:r w:rsidRPr="005F3E2E">
                        <w:rPr>
                          <w:rFonts w:ascii="Arial" w:eastAsia="Times New Roman" w:hAnsi="Arial" w:cs="Arial"/>
                          <w:b/>
                          <w:bCs/>
                          <w:color w:val="333333"/>
                          <w:kern w:val="28"/>
                          <w:sz w:val="16"/>
                          <w:szCs w:val="16"/>
                          <w:lang w:eastAsia="fr-FR"/>
                          <w14:cntxtAlts/>
                        </w:rPr>
                        <w:t>75010 Paris</w:t>
                      </w:r>
                    </w:p>
                  </w:txbxContent>
                </v:textbox>
                <w10:wrap anchorx="margin"/>
              </v:shape>
            </w:pict>
          </mc:Fallback>
        </mc:AlternateContent>
      </w:r>
    </w:p>
    <w:p w14:paraId="76A6AC29" w14:textId="7524851E" w:rsidR="00FA73A3" w:rsidRDefault="00FA73A3" w:rsidP="00681AF0">
      <w:pPr>
        <w:spacing w:after="0"/>
        <w:jc w:val="both"/>
        <w:rPr>
          <w:color w:val="002060"/>
          <w:sz w:val="24"/>
          <w:szCs w:val="24"/>
        </w:rPr>
      </w:pPr>
    </w:p>
    <w:p w14:paraId="56DDEADA" w14:textId="150AA2EC" w:rsidR="00FA73A3" w:rsidRPr="005F3E2E" w:rsidRDefault="00FA73A3" w:rsidP="00681AF0">
      <w:pPr>
        <w:spacing w:after="0"/>
        <w:jc w:val="both"/>
      </w:pPr>
    </w:p>
    <w:sectPr w:rsidR="00FA73A3" w:rsidRPr="005F3E2E" w:rsidSect="00331B1D">
      <w:footerReference w:type="even" r:id="rId9"/>
      <w:footerReference w:type="default" r:id="rId10"/>
      <w:pgSz w:w="11906" w:h="16838"/>
      <w:pgMar w:top="709" w:right="707" w:bottom="1417" w:left="851" w:header="708" w:footer="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B2FA45" w14:textId="77777777" w:rsidR="006E15A7" w:rsidRDefault="006E15A7" w:rsidP="005F3E2E">
      <w:pPr>
        <w:spacing w:after="0" w:line="240" w:lineRule="auto"/>
      </w:pPr>
      <w:r>
        <w:separator/>
      </w:r>
    </w:p>
  </w:endnote>
  <w:endnote w:type="continuationSeparator" w:id="0">
    <w:p w14:paraId="6B0CF3D0" w14:textId="77777777" w:rsidR="006E15A7" w:rsidRDefault="006E15A7" w:rsidP="005F3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A7241" w14:textId="2FEA812F" w:rsidR="003F5C4E" w:rsidRPr="003F5C4E" w:rsidRDefault="00331B1D">
    <w:pPr>
      <w:pStyle w:val="Pieddepage"/>
      <w:jc w:val="center"/>
      <w:rPr>
        <w:caps/>
        <w:color w:val="FF0000"/>
      </w:rPr>
    </w:pPr>
    <w:r>
      <w:rPr>
        <w:caps/>
        <w:color w:val="4472C4" w:themeColor="accent1"/>
      </w:rPr>
      <w:t xml:space="preserve">Pagge  </w:t>
    </w:r>
    <w:r w:rsidR="003F5C4E">
      <w:rPr>
        <w:caps/>
        <w:color w:val="4472C4" w:themeColor="accent1"/>
      </w:rPr>
      <w:fldChar w:fldCharType="begin"/>
    </w:r>
    <w:r w:rsidR="003F5C4E">
      <w:rPr>
        <w:caps/>
        <w:color w:val="4472C4" w:themeColor="accent1"/>
      </w:rPr>
      <w:instrText>PAGE   \* MERGEFORMAT</w:instrText>
    </w:r>
    <w:r w:rsidR="003F5C4E">
      <w:rPr>
        <w:caps/>
        <w:color w:val="4472C4" w:themeColor="accent1"/>
      </w:rPr>
      <w:fldChar w:fldCharType="separate"/>
    </w:r>
    <w:r w:rsidR="003F5C4E">
      <w:rPr>
        <w:caps/>
        <w:color w:val="4472C4" w:themeColor="accent1"/>
      </w:rPr>
      <w:t>2</w:t>
    </w:r>
    <w:r w:rsidR="003F5C4E">
      <w:rPr>
        <w:caps/>
        <w:color w:val="4472C4" w:themeColor="accent1"/>
      </w:rPr>
      <w:fldChar w:fldCharType="end"/>
    </w:r>
    <w:r w:rsidR="003F5C4E">
      <w:rPr>
        <w:caps/>
        <w:color w:val="4472C4" w:themeColor="accent1"/>
      </w:rPr>
      <w:t xml:space="preserve">        </w:t>
    </w:r>
    <w:r w:rsidR="003F5C4E" w:rsidRPr="003F5C4E">
      <w:rPr>
        <w:b/>
        <w:bCs/>
        <w:caps/>
        <w:color w:val="FF0000"/>
      </w:rPr>
      <w:t>F</w:t>
    </w:r>
    <w:r w:rsidR="003F5C4E">
      <w:rPr>
        <w:caps/>
        <w:color w:val="002060"/>
      </w:rPr>
      <w:t xml:space="preserve">éderation </w:t>
    </w:r>
    <w:r w:rsidR="003F5C4E" w:rsidRPr="003F5C4E">
      <w:rPr>
        <w:b/>
        <w:bCs/>
        <w:caps/>
        <w:color w:val="FF0000"/>
      </w:rPr>
      <w:t>n</w:t>
    </w:r>
    <w:r w:rsidR="003F5C4E">
      <w:rPr>
        <w:caps/>
        <w:color w:val="002060"/>
      </w:rPr>
      <w:t xml:space="preserve">ationale des </w:t>
    </w:r>
    <w:r w:rsidR="003F5C4E" w:rsidRPr="003F5C4E">
      <w:rPr>
        <w:b/>
        <w:bCs/>
        <w:caps/>
        <w:color w:val="FF0000"/>
      </w:rPr>
      <w:t>v</w:t>
    </w:r>
    <w:r w:rsidR="003F5C4E">
      <w:rPr>
        <w:caps/>
        <w:color w:val="002060"/>
      </w:rPr>
      <w:t xml:space="preserve">rp et </w:t>
    </w:r>
    <w:r w:rsidR="003F5C4E" w:rsidRPr="003F5C4E">
      <w:rPr>
        <w:b/>
        <w:bCs/>
        <w:caps/>
        <w:color w:val="FF0000"/>
      </w:rPr>
      <w:t>c</w:t>
    </w:r>
    <w:r w:rsidR="003F5C4E">
      <w:rPr>
        <w:caps/>
        <w:color w:val="002060"/>
      </w:rPr>
      <w:t xml:space="preserve">ommerciaux de la </w:t>
    </w:r>
    <w:r w:rsidR="003F5C4E" w:rsidRPr="003F5C4E">
      <w:rPr>
        <w:b/>
        <w:bCs/>
        <w:caps/>
        <w:color w:val="FF0000"/>
      </w:rPr>
      <w:t>c</w:t>
    </w:r>
    <w:r w:rsidR="003F5C4E">
      <w:rPr>
        <w:caps/>
        <w:color w:val="002060"/>
      </w:rPr>
      <w:t xml:space="preserve">onfederation </w:t>
    </w:r>
    <w:r w:rsidR="003F5C4E" w:rsidRPr="00331B1D">
      <w:rPr>
        <w:b/>
        <w:bCs/>
        <w:caps/>
        <w:color w:val="FF0000"/>
      </w:rPr>
      <w:t>g</w:t>
    </w:r>
    <w:r>
      <w:rPr>
        <w:caps/>
        <w:color w:val="002060"/>
      </w:rPr>
      <w:t xml:space="preserve">enerale du </w:t>
    </w:r>
    <w:r w:rsidRPr="00331B1D">
      <w:rPr>
        <w:b/>
        <w:bCs/>
        <w:caps/>
        <w:color w:val="FF0000"/>
      </w:rPr>
      <w:t>t</w:t>
    </w:r>
    <w:r>
      <w:rPr>
        <w:caps/>
        <w:color w:val="002060"/>
      </w:rPr>
      <w:t>ravail</w:t>
    </w:r>
    <w:r w:rsidR="003F5C4E">
      <w:rPr>
        <w:caps/>
        <w:color w:val="4472C4" w:themeColor="accent1"/>
      </w:rPr>
      <w:t xml:space="preserve">                          </w:t>
    </w:r>
    <w:hyperlink r:id="rId1" w:history="1">
      <w:r w:rsidR="003F5C4E" w:rsidRPr="00DF3800">
        <w:rPr>
          <w:rStyle w:val="Lienhypertexte"/>
          <w:caps/>
        </w:rPr>
        <w:t>www.cgt-vrp.fr</w:t>
      </w:r>
    </w:hyperlink>
    <w:r w:rsidR="003F5C4E">
      <w:rPr>
        <w:caps/>
        <w:color w:val="4472C4" w:themeColor="accent1"/>
      </w:rPr>
      <w:t xml:space="preserve">       </w:t>
    </w:r>
    <w:r w:rsidR="003F5C4E">
      <w:rPr>
        <w:caps/>
        <w:color w:val="FF0000"/>
      </w:rPr>
      <w:t>FNVC-CGT</w:t>
    </w:r>
  </w:p>
  <w:p w14:paraId="01269234" w14:textId="77777777" w:rsidR="003F5C4E" w:rsidRDefault="003F5C4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6E3A9" w14:textId="1E3D2E56" w:rsidR="00331B1D" w:rsidRPr="00331B1D" w:rsidRDefault="00331B1D" w:rsidP="005F3E2E">
    <w:pPr>
      <w:spacing w:after="200" w:line="300" w:lineRule="auto"/>
      <w:rPr>
        <w:rFonts w:asciiTheme="majorHAnsi" w:eastAsiaTheme="majorEastAsia" w:hAnsiTheme="majorHAnsi" w:cstheme="majorBidi"/>
        <w:b/>
        <w:bCs/>
        <w:color w:val="002060"/>
        <w:kern w:val="28"/>
        <w:sz w:val="20"/>
        <w:szCs w:val="20"/>
        <w:lang w:eastAsia="fr-FR"/>
        <w14:cntxtAlts/>
      </w:rPr>
    </w:pPr>
    <w:r w:rsidRPr="00331B1D">
      <w:rPr>
        <w:rFonts w:ascii="Arial" w:eastAsia="Times New Roman" w:hAnsi="Arial" w:cs="Arial"/>
        <w:b/>
        <w:bCs/>
        <w:noProof/>
        <w:color w:val="4472C4" w:themeColor="accent1"/>
        <w:kern w:val="28"/>
        <w:sz w:val="16"/>
        <w:szCs w:val="16"/>
        <w:lang w:eastAsia="fr-FR"/>
        <w14:cntxtAlts/>
      </w:rPr>
      <mc:AlternateContent>
        <mc:Choice Requires="wps">
          <w:drawing>
            <wp:anchor distT="0" distB="0" distL="114300" distR="114300" simplePos="0" relativeHeight="251659264" behindDoc="0" locked="0" layoutInCell="1" allowOverlap="1" wp14:anchorId="29BD488B" wp14:editId="5D94D2ED">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57C96E0"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331B1D">
      <w:rPr>
        <w:rFonts w:ascii="Arial" w:eastAsia="Times New Roman" w:hAnsi="Arial" w:cs="Arial"/>
        <w:b/>
        <w:bCs/>
        <w:color w:val="4472C4" w:themeColor="accent1"/>
        <w:kern w:val="28"/>
        <w:sz w:val="16"/>
        <w:szCs w:val="16"/>
        <w:lang w:eastAsia="fr-FR"/>
        <w14:cntxtAlts/>
      </w:rPr>
      <w:t xml:space="preserve"> </w:t>
    </w:r>
    <w:r w:rsidRPr="00331B1D">
      <w:rPr>
        <w:rFonts w:asciiTheme="majorHAnsi" w:eastAsiaTheme="majorEastAsia" w:hAnsiTheme="majorHAnsi" w:cstheme="majorBidi"/>
        <w:b/>
        <w:bCs/>
        <w:color w:val="4472C4" w:themeColor="accent1"/>
        <w:kern w:val="28"/>
        <w:sz w:val="20"/>
        <w:szCs w:val="20"/>
        <w:lang w:eastAsia="fr-FR"/>
        <w14:cntxtAlts/>
      </w:rPr>
      <w:t xml:space="preserve">p. </w:t>
    </w:r>
    <w:r w:rsidRPr="00331B1D">
      <w:rPr>
        <w:rFonts w:ascii="Arial" w:eastAsia="Times New Roman" w:hAnsi="Arial" w:cs="Arial"/>
        <w:b/>
        <w:bCs/>
        <w:color w:val="4472C4" w:themeColor="accent1"/>
        <w:kern w:val="28"/>
        <w:sz w:val="20"/>
        <w:szCs w:val="20"/>
        <w:lang w:eastAsia="fr-FR"/>
        <w14:cntxtAlts/>
      </w:rPr>
      <w:fldChar w:fldCharType="begin"/>
    </w:r>
    <w:r w:rsidRPr="00331B1D">
      <w:rPr>
        <w:rFonts w:ascii="Arial" w:eastAsia="Times New Roman" w:hAnsi="Arial" w:cs="Arial"/>
        <w:b/>
        <w:bCs/>
        <w:color w:val="4472C4" w:themeColor="accent1"/>
        <w:kern w:val="28"/>
        <w:sz w:val="20"/>
        <w:szCs w:val="20"/>
        <w:lang w:eastAsia="fr-FR"/>
        <w14:cntxtAlts/>
      </w:rPr>
      <w:instrText>PAGE    \* MERGEFORMAT</w:instrText>
    </w:r>
    <w:r w:rsidRPr="00331B1D">
      <w:rPr>
        <w:rFonts w:ascii="Arial" w:eastAsia="Times New Roman" w:hAnsi="Arial" w:cs="Arial"/>
        <w:b/>
        <w:bCs/>
        <w:color w:val="4472C4" w:themeColor="accent1"/>
        <w:kern w:val="28"/>
        <w:sz w:val="20"/>
        <w:szCs w:val="20"/>
        <w:lang w:eastAsia="fr-FR"/>
        <w14:cntxtAlts/>
      </w:rPr>
      <w:fldChar w:fldCharType="separate"/>
    </w:r>
    <w:r w:rsidRPr="00331B1D">
      <w:rPr>
        <w:rFonts w:asciiTheme="majorHAnsi" w:eastAsiaTheme="majorEastAsia" w:hAnsiTheme="majorHAnsi" w:cstheme="majorBidi"/>
        <w:b/>
        <w:bCs/>
        <w:color w:val="4472C4" w:themeColor="accent1"/>
        <w:kern w:val="28"/>
        <w:sz w:val="20"/>
        <w:szCs w:val="20"/>
        <w:lang w:eastAsia="fr-FR"/>
        <w14:cntxtAlts/>
      </w:rPr>
      <w:t>2</w:t>
    </w:r>
    <w:r w:rsidRPr="00331B1D">
      <w:rPr>
        <w:rFonts w:asciiTheme="majorHAnsi" w:eastAsiaTheme="majorEastAsia" w:hAnsiTheme="majorHAnsi" w:cstheme="majorBidi"/>
        <w:b/>
        <w:bCs/>
        <w:color w:val="4472C4" w:themeColor="accent1"/>
        <w:kern w:val="28"/>
        <w:sz w:val="20"/>
        <w:szCs w:val="20"/>
        <w:lang w:eastAsia="fr-FR"/>
        <w14:cntxtAlts/>
      </w:rPr>
      <w:fldChar w:fldCharType="end"/>
    </w:r>
    <w:r>
      <w:rPr>
        <w:rFonts w:asciiTheme="majorHAnsi" w:eastAsiaTheme="majorEastAsia" w:hAnsiTheme="majorHAnsi" w:cstheme="majorBidi"/>
        <w:b/>
        <w:bCs/>
        <w:color w:val="4472C4" w:themeColor="accent1"/>
        <w:kern w:val="28"/>
        <w:sz w:val="20"/>
        <w:szCs w:val="20"/>
        <w:lang w:eastAsia="fr-FR"/>
        <w14:cntxtAlts/>
      </w:rPr>
      <w:t xml:space="preserve">      </w:t>
    </w:r>
    <w:r w:rsidRPr="00331B1D">
      <w:rPr>
        <w:rFonts w:asciiTheme="majorHAnsi" w:eastAsiaTheme="majorEastAsia" w:hAnsiTheme="majorHAnsi" w:cstheme="majorBidi"/>
        <w:color w:val="FF0000"/>
        <w:kern w:val="28"/>
        <w:sz w:val="20"/>
        <w:szCs w:val="20"/>
        <w:lang w:eastAsia="fr-FR"/>
        <w14:cntxtAlts/>
      </w:rPr>
      <w:t>F</w:t>
    </w:r>
    <w:r>
      <w:rPr>
        <w:rFonts w:asciiTheme="majorHAnsi" w:eastAsiaTheme="majorEastAsia" w:hAnsiTheme="majorHAnsi" w:cstheme="majorBidi"/>
        <w:b/>
        <w:bCs/>
        <w:color w:val="4472C4" w:themeColor="accent1"/>
        <w:kern w:val="28"/>
        <w:sz w:val="20"/>
        <w:szCs w:val="20"/>
        <w:lang w:eastAsia="fr-FR"/>
        <w14:cntxtAlts/>
      </w:rPr>
      <w:t xml:space="preserve">édération </w:t>
    </w:r>
    <w:r w:rsidRPr="00331B1D">
      <w:rPr>
        <w:rFonts w:asciiTheme="majorHAnsi" w:eastAsiaTheme="majorEastAsia" w:hAnsiTheme="majorHAnsi" w:cstheme="majorBidi"/>
        <w:b/>
        <w:bCs/>
        <w:color w:val="FF0000"/>
        <w:kern w:val="28"/>
        <w:sz w:val="20"/>
        <w:szCs w:val="20"/>
        <w:lang w:eastAsia="fr-FR"/>
        <w14:cntxtAlts/>
      </w:rPr>
      <w:t>N</w:t>
    </w:r>
    <w:r>
      <w:rPr>
        <w:rFonts w:asciiTheme="majorHAnsi" w:eastAsiaTheme="majorEastAsia" w:hAnsiTheme="majorHAnsi" w:cstheme="majorBidi"/>
        <w:b/>
        <w:bCs/>
        <w:color w:val="4472C4" w:themeColor="accent1"/>
        <w:kern w:val="28"/>
        <w:sz w:val="20"/>
        <w:szCs w:val="20"/>
        <w:lang w:eastAsia="fr-FR"/>
        <w14:cntxtAlts/>
      </w:rPr>
      <w:t xml:space="preserve">ational des </w:t>
    </w:r>
    <w:r w:rsidRPr="00331B1D">
      <w:rPr>
        <w:rFonts w:asciiTheme="majorHAnsi" w:eastAsiaTheme="majorEastAsia" w:hAnsiTheme="majorHAnsi" w:cstheme="majorBidi"/>
        <w:b/>
        <w:bCs/>
        <w:color w:val="FF0000"/>
        <w:kern w:val="28"/>
        <w:sz w:val="20"/>
        <w:szCs w:val="20"/>
        <w:lang w:eastAsia="fr-FR"/>
        <w14:cntxtAlts/>
      </w:rPr>
      <w:t>V</w:t>
    </w:r>
    <w:r>
      <w:rPr>
        <w:rFonts w:asciiTheme="majorHAnsi" w:eastAsiaTheme="majorEastAsia" w:hAnsiTheme="majorHAnsi" w:cstheme="majorBidi"/>
        <w:b/>
        <w:bCs/>
        <w:color w:val="4472C4" w:themeColor="accent1"/>
        <w:kern w:val="28"/>
        <w:sz w:val="20"/>
        <w:szCs w:val="20"/>
        <w:lang w:eastAsia="fr-FR"/>
        <w14:cntxtAlts/>
      </w:rPr>
      <w:t xml:space="preserve">rp et </w:t>
    </w:r>
    <w:r w:rsidRPr="00331B1D">
      <w:rPr>
        <w:rFonts w:asciiTheme="majorHAnsi" w:eastAsiaTheme="majorEastAsia" w:hAnsiTheme="majorHAnsi" w:cstheme="majorBidi"/>
        <w:b/>
        <w:bCs/>
        <w:color w:val="FF0000"/>
        <w:kern w:val="28"/>
        <w:sz w:val="20"/>
        <w:szCs w:val="20"/>
        <w:lang w:eastAsia="fr-FR"/>
        <w14:cntxtAlts/>
      </w:rPr>
      <w:t>C</w:t>
    </w:r>
    <w:r>
      <w:rPr>
        <w:rFonts w:asciiTheme="majorHAnsi" w:eastAsiaTheme="majorEastAsia" w:hAnsiTheme="majorHAnsi" w:cstheme="majorBidi"/>
        <w:b/>
        <w:bCs/>
        <w:color w:val="4472C4" w:themeColor="accent1"/>
        <w:kern w:val="28"/>
        <w:sz w:val="20"/>
        <w:szCs w:val="20"/>
        <w:lang w:eastAsia="fr-FR"/>
        <w14:cntxtAlts/>
      </w:rPr>
      <w:t xml:space="preserve">ommerciaux de la </w:t>
    </w:r>
    <w:r w:rsidRPr="00331B1D">
      <w:rPr>
        <w:rFonts w:asciiTheme="majorHAnsi" w:eastAsiaTheme="majorEastAsia" w:hAnsiTheme="majorHAnsi" w:cstheme="majorBidi"/>
        <w:b/>
        <w:bCs/>
        <w:color w:val="FF0000"/>
        <w:kern w:val="28"/>
        <w:sz w:val="20"/>
        <w:szCs w:val="20"/>
        <w:lang w:eastAsia="fr-FR"/>
        <w14:cntxtAlts/>
      </w:rPr>
      <w:t>C</w:t>
    </w:r>
    <w:r>
      <w:rPr>
        <w:rFonts w:asciiTheme="majorHAnsi" w:eastAsiaTheme="majorEastAsia" w:hAnsiTheme="majorHAnsi" w:cstheme="majorBidi"/>
        <w:b/>
        <w:bCs/>
        <w:color w:val="4472C4" w:themeColor="accent1"/>
        <w:kern w:val="28"/>
        <w:sz w:val="20"/>
        <w:szCs w:val="20"/>
        <w:lang w:eastAsia="fr-FR"/>
        <w14:cntxtAlts/>
      </w:rPr>
      <w:t xml:space="preserve">onfédération </w:t>
    </w:r>
    <w:r w:rsidRPr="00331B1D">
      <w:rPr>
        <w:rFonts w:asciiTheme="majorHAnsi" w:eastAsiaTheme="majorEastAsia" w:hAnsiTheme="majorHAnsi" w:cstheme="majorBidi"/>
        <w:b/>
        <w:bCs/>
        <w:color w:val="FF0000"/>
        <w:kern w:val="28"/>
        <w:sz w:val="20"/>
        <w:szCs w:val="20"/>
        <w:lang w:eastAsia="fr-FR"/>
        <w14:cntxtAlts/>
      </w:rPr>
      <w:t>G</w:t>
    </w:r>
    <w:r>
      <w:rPr>
        <w:rFonts w:asciiTheme="majorHAnsi" w:eastAsiaTheme="majorEastAsia" w:hAnsiTheme="majorHAnsi" w:cstheme="majorBidi"/>
        <w:b/>
        <w:bCs/>
        <w:color w:val="4472C4" w:themeColor="accent1"/>
        <w:kern w:val="28"/>
        <w:sz w:val="20"/>
        <w:szCs w:val="20"/>
        <w:lang w:eastAsia="fr-FR"/>
        <w14:cntxtAlts/>
      </w:rPr>
      <w:t xml:space="preserve">énérale du </w:t>
    </w:r>
    <w:r w:rsidRPr="00331B1D">
      <w:rPr>
        <w:rFonts w:asciiTheme="majorHAnsi" w:eastAsiaTheme="majorEastAsia" w:hAnsiTheme="majorHAnsi" w:cstheme="majorBidi"/>
        <w:b/>
        <w:bCs/>
        <w:color w:val="FF0000"/>
        <w:kern w:val="28"/>
        <w:sz w:val="20"/>
        <w:szCs w:val="20"/>
        <w:lang w:eastAsia="fr-FR"/>
        <w14:cntxtAlts/>
      </w:rPr>
      <w:t>T</w:t>
    </w:r>
    <w:r>
      <w:rPr>
        <w:rFonts w:asciiTheme="majorHAnsi" w:eastAsiaTheme="majorEastAsia" w:hAnsiTheme="majorHAnsi" w:cstheme="majorBidi"/>
        <w:b/>
        <w:bCs/>
        <w:color w:val="4472C4" w:themeColor="accent1"/>
        <w:kern w:val="28"/>
        <w:sz w:val="20"/>
        <w:szCs w:val="20"/>
        <w:lang w:eastAsia="fr-FR"/>
        <w14:cntxtAlts/>
      </w:rPr>
      <w:t xml:space="preserve">ravail </w:t>
    </w:r>
    <w:r w:rsidRPr="00331B1D">
      <w:rPr>
        <w:rFonts w:asciiTheme="majorHAnsi" w:eastAsiaTheme="majorEastAsia" w:hAnsiTheme="majorHAnsi" w:cstheme="majorBidi"/>
        <w:b/>
        <w:bCs/>
        <w:color w:val="FF0000"/>
        <w:kern w:val="28"/>
        <w:sz w:val="20"/>
        <w:szCs w:val="20"/>
        <w:lang w:eastAsia="fr-FR"/>
        <w14:cntxtAlts/>
      </w:rPr>
      <w:t>FNVC-CGT</w:t>
    </w:r>
    <w:r>
      <w:rPr>
        <w:rFonts w:asciiTheme="majorHAnsi" w:eastAsiaTheme="majorEastAsia" w:hAnsiTheme="majorHAnsi" w:cstheme="majorBidi"/>
        <w:b/>
        <w:bCs/>
        <w:color w:val="FF0000"/>
        <w:kern w:val="28"/>
        <w:sz w:val="20"/>
        <w:szCs w:val="20"/>
        <w:lang w:eastAsia="fr-FR"/>
        <w14:cntxtAlts/>
      </w:rPr>
      <w:t xml:space="preserve">     </w:t>
    </w:r>
    <w:r>
      <w:rPr>
        <w:rFonts w:asciiTheme="majorHAnsi" w:eastAsiaTheme="majorEastAsia" w:hAnsiTheme="majorHAnsi" w:cstheme="majorBidi"/>
        <w:b/>
        <w:bCs/>
        <w:color w:val="002060"/>
        <w:kern w:val="28"/>
        <w:sz w:val="20"/>
        <w:szCs w:val="20"/>
        <w:lang w:eastAsia="fr-FR"/>
        <w14:cntxtAlts/>
      </w:rPr>
      <w:t>www.cgt-vrp.fr</w:t>
    </w:r>
  </w:p>
  <w:p w14:paraId="6816F700" w14:textId="77777777" w:rsidR="00331B1D" w:rsidRPr="005F3E2E" w:rsidRDefault="00331B1D" w:rsidP="005F3E2E">
    <w:pPr>
      <w:spacing w:after="200" w:line="300" w:lineRule="auto"/>
      <w:rPr>
        <w:rFonts w:ascii="Arial" w:eastAsia="Times New Roman" w:hAnsi="Arial" w:cs="Arial"/>
        <w:b/>
        <w:bCs/>
        <w:color w:val="333333"/>
        <w:kern w:val="28"/>
        <w:sz w:val="16"/>
        <w:szCs w:val="16"/>
        <w:lang w:eastAsia="fr-FR"/>
        <w14:cntxtAlt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73F05" w14:textId="77777777" w:rsidR="006E15A7" w:rsidRDefault="006E15A7" w:rsidP="005F3E2E">
      <w:pPr>
        <w:spacing w:after="0" w:line="240" w:lineRule="auto"/>
      </w:pPr>
      <w:r>
        <w:separator/>
      </w:r>
    </w:p>
  </w:footnote>
  <w:footnote w:type="continuationSeparator" w:id="0">
    <w:p w14:paraId="3D576B17" w14:textId="77777777" w:rsidR="006E15A7" w:rsidRDefault="006E15A7" w:rsidP="005F3E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C3454"/>
    <w:multiLevelType w:val="hybridMultilevel"/>
    <w:tmpl w:val="6B74993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9491B1E"/>
    <w:multiLevelType w:val="hybridMultilevel"/>
    <w:tmpl w:val="4028D1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4CE"/>
    <w:rsid w:val="00000BF7"/>
    <w:rsid w:val="00001106"/>
    <w:rsid w:val="00040696"/>
    <w:rsid w:val="000835D7"/>
    <w:rsid w:val="001018FB"/>
    <w:rsid w:val="001356A7"/>
    <w:rsid w:val="002244CE"/>
    <w:rsid w:val="0032704E"/>
    <w:rsid w:val="00331B1D"/>
    <w:rsid w:val="00343272"/>
    <w:rsid w:val="003F5C4E"/>
    <w:rsid w:val="0045541B"/>
    <w:rsid w:val="004901EE"/>
    <w:rsid w:val="00494362"/>
    <w:rsid w:val="005F3E2E"/>
    <w:rsid w:val="00681AF0"/>
    <w:rsid w:val="006E15A7"/>
    <w:rsid w:val="00785FEF"/>
    <w:rsid w:val="007927DB"/>
    <w:rsid w:val="007B76D3"/>
    <w:rsid w:val="008855A2"/>
    <w:rsid w:val="00895B8A"/>
    <w:rsid w:val="008D50AB"/>
    <w:rsid w:val="00902337"/>
    <w:rsid w:val="00936CAE"/>
    <w:rsid w:val="00AA0DD4"/>
    <w:rsid w:val="00B16D4E"/>
    <w:rsid w:val="00B62B68"/>
    <w:rsid w:val="00CD452D"/>
    <w:rsid w:val="00DE608A"/>
    <w:rsid w:val="00E8346D"/>
    <w:rsid w:val="00E853C3"/>
    <w:rsid w:val="00F93EA7"/>
    <w:rsid w:val="00F94F0C"/>
    <w:rsid w:val="00FA73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739FAA"/>
  <w15:chartTrackingRefBased/>
  <w15:docId w15:val="{8A8C34F1-E619-4D7A-A314-FBAF8AEF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3E2E"/>
    <w:pPr>
      <w:tabs>
        <w:tab w:val="center" w:pos="4536"/>
        <w:tab w:val="right" w:pos="9072"/>
      </w:tabs>
      <w:spacing w:after="0" w:line="240" w:lineRule="auto"/>
    </w:pPr>
  </w:style>
  <w:style w:type="character" w:customStyle="1" w:styleId="En-tteCar">
    <w:name w:val="En-tête Car"/>
    <w:basedOn w:val="Policepardfaut"/>
    <w:link w:val="En-tte"/>
    <w:uiPriority w:val="99"/>
    <w:rsid w:val="005F3E2E"/>
  </w:style>
  <w:style w:type="paragraph" w:styleId="Pieddepage">
    <w:name w:val="footer"/>
    <w:basedOn w:val="Normal"/>
    <w:link w:val="PieddepageCar"/>
    <w:uiPriority w:val="99"/>
    <w:unhideWhenUsed/>
    <w:rsid w:val="005F3E2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3E2E"/>
  </w:style>
  <w:style w:type="paragraph" w:styleId="Paragraphedeliste">
    <w:name w:val="List Paragraph"/>
    <w:basedOn w:val="Normal"/>
    <w:uiPriority w:val="34"/>
    <w:qFormat/>
    <w:rsid w:val="000835D7"/>
    <w:pPr>
      <w:ind w:left="720"/>
      <w:contextualSpacing/>
    </w:pPr>
  </w:style>
  <w:style w:type="character" w:styleId="Lienhypertexte">
    <w:name w:val="Hyperlink"/>
    <w:basedOn w:val="Policepardfaut"/>
    <w:uiPriority w:val="99"/>
    <w:unhideWhenUsed/>
    <w:rsid w:val="003F5C4E"/>
    <w:rPr>
      <w:color w:val="0563C1" w:themeColor="hyperlink"/>
      <w:u w:val="single"/>
    </w:rPr>
  </w:style>
  <w:style w:type="character" w:styleId="Mentionnonrsolue">
    <w:name w:val="Unresolved Mention"/>
    <w:basedOn w:val="Policepardfaut"/>
    <w:uiPriority w:val="99"/>
    <w:semiHidden/>
    <w:unhideWhenUsed/>
    <w:rsid w:val="003F5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424468">
      <w:bodyDiv w:val="1"/>
      <w:marLeft w:val="0"/>
      <w:marRight w:val="0"/>
      <w:marTop w:val="0"/>
      <w:marBottom w:val="0"/>
      <w:divBdr>
        <w:top w:val="none" w:sz="0" w:space="0" w:color="auto"/>
        <w:left w:val="none" w:sz="0" w:space="0" w:color="auto"/>
        <w:bottom w:val="none" w:sz="0" w:space="0" w:color="auto"/>
        <w:right w:val="none" w:sz="0" w:space="0" w:color="auto"/>
      </w:divBdr>
    </w:div>
    <w:div w:id="61460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gt-vrp.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8DD5F-AE11-4EBC-AE7E-F9B94A9A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861</Words>
  <Characters>4736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herve delattre</cp:lastModifiedBy>
  <cp:revision>2</cp:revision>
  <dcterms:created xsi:type="dcterms:W3CDTF">2020-04-19T10:05:00Z</dcterms:created>
  <dcterms:modified xsi:type="dcterms:W3CDTF">2020-04-19T10:05:00Z</dcterms:modified>
</cp:coreProperties>
</file>